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2C895" w14:textId="6EF4A8F2" w:rsidR="004E1457" w:rsidRPr="00A66CCF" w:rsidRDefault="009A7855" w:rsidP="55B6B78E">
      <w:pPr>
        <w:jc w:val="center"/>
        <w:rPr>
          <w:rFonts w:ascii="Arial Black" w:eastAsia="Arial Black" w:hAnsi="Arial Black" w:cs="Arial Black"/>
          <w:b/>
          <w:bCs/>
          <w:color w:val="000000" w:themeColor="text1"/>
          <w:sz w:val="32"/>
          <w:szCs w:val="32"/>
          <w:lang w:val="es-ES"/>
        </w:rPr>
      </w:pPr>
      <w:r>
        <w:rPr>
          <w:rFonts w:ascii="Arial Black" w:eastAsia="Arial Black" w:hAnsi="Arial Black" w:cs="Arial Black"/>
          <w:b/>
          <w:bCs/>
          <w:color w:val="000000" w:themeColor="text1"/>
          <w:sz w:val="32"/>
          <w:szCs w:val="32"/>
          <w:lang w:val="es-ES"/>
        </w:rPr>
        <w:t xml:space="preserve">ANÁLISIS DE </w:t>
      </w:r>
      <w:r w:rsidR="55B6B78E" w:rsidRPr="55B6B78E">
        <w:rPr>
          <w:rFonts w:ascii="Arial Black" w:eastAsia="Arial Black" w:hAnsi="Arial Black" w:cs="Arial Black"/>
          <w:b/>
          <w:bCs/>
          <w:color w:val="000000" w:themeColor="text1"/>
          <w:sz w:val="32"/>
          <w:szCs w:val="32"/>
          <w:lang w:val="es-ES"/>
        </w:rPr>
        <w:t xml:space="preserve"> RESULTADOS DE PANAMÁ</w:t>
      </w:r>
    </w:p>
    <w:p w14:paraId="63BD7035" w14:textId="574C458E" w:rsidR="004E1457" w:rsidRPr="00A66CCF" w:rsidRDefault="55B6B78E" w:rsidP="55B6B78E">
      <w:pPr>
        <w:jc w:val="center"/>
        <w:rPr>
          <w:rFonts w:ascii="Arial Black" w:eastAsia="Arial Black" w:hAnsi="Arial Black" w:cs="Arial Black"/>
          <w:b/>
          <w:bCs/>
          <w:color w:val="000000"/>
          <w:sz w:val="32"/>
          <w:szCs w:val="32"/>
          <w:lang w:val="es-ES"/>
        </w:rPr>
      </w:pPr>
      <w:r w:rsidRPr="55B6B78E">
        <w:rPr>
          <w:rFonts w:ascii="Arial Black" w:eastAsia="Arial Black" w:hAnsi="Arial Black" w:cs="Arial Black"/>
          <w:b/>
          <w:bCs/>
          <w:color w:val="000000" w:themeColor="text1"/>
          <w:sz w:val="32"/>
          <w:szCs w:val="32"/>
          <w:lang w:val="es-ES"/>
        </w:rPr>
        <w:t>ILTL</w:t>
      </w:r>
      <w:r w:rsidR="00642C91">
        <w:rPr>
          <w:rFonts w:ascii="Arial Black" w:eastAsia="Arial Black" w:hAnsi="Arial Black" w:cs="Arial Black"/>
          <w:b/>
          <w:bCs/>
          <w:color w:val="000000" w:themeColor="text1"/>
          <w:sz w:val="32"/>
          <w:szCs w:val="32"/>
          <w:lang w:val="es-ES"/>
        </w:rPr>
        <w:t xml:space="preserve">+ </w:t>
      </w:r>
      <w:r w:rsidRPr="55B6B78E">
        <w:rPr>
          <w:rFonts w:ascii="Arial Black" w:eastAsia="Arial Black" w:hAnsi="Arial Black" w:cs="Arial Black"/>
          <w:b/>
          <w:bCs/>
          <w:color w:val="000000" w:themeColor="text1"/>
          <w:sz w:val="32"/>
          <w:szCs w:val="32"/>
          <w:lang w:val="es-ES"/>
        </w:rPr>
        <w:t xml:space="preserve">2020 </w:t>
      </w:r>
    </w:p>
    <w:p w14:paraId="4E748DBF" w14:textId="35F3A9FF" w:rsidR="004E1457" w:rsidRPr="00A66CCF" w:rsidRDefault="004E1457" w:rsidP="009A7855">
      <w:pPr>
        <w:rPr>
          <w:rFonts w:ascii="Calibri Light" w:eastAsia="Calibri Light" w:hAnsi="Calibri Light" w:cs="Calibri Light"/>
          <w:b/>
          <w:bCs/>
          <w:color w:val="000000" w:themeColor="text1"/>
          <w:lang w:val="es-ES"/>
        </w:rPr>
      </w:pPr>
    </w:p>
    <w:p w14:paraId="6CCA0FC3" w14:textId="089A7CA6" w:rsidR="004E1457" w:rsidRPr="00A66CCF" w:rsidRDefault="004E1457" w:rsidP="55B6B78E">
      <w:pPr>
        <w:jc w:val="center"/>
        <w:rPr>
          <w:rFonts w:asciiTheme="majorHAnsi" w:eastAsiaTheme="majorEastAsia" w:hAnsiTheme="majorHAnsi" w:cstheme="majorBidi"/>
          <w:b/>
          <w:bCs/>
          <w:color w:val="000000" w:themeColor="text1"/>
          <w:lang w:val="es-ES"/>
        </w:rPr>
      </w:pPr>
    </w:p>
    <w:p w14:paraId="5AE82485" w14:textId="73C1F66B" w:rsidR="004E1457" w:rsidRPr="00A66CCF" w:rsidRDefault="55B6B78E" w:rsidP="55B6B78E">
      <w:pPr>
        <w:spacing w:line="259" w:lineRule="auto"/>
        <w:jc w:val="both"/>
        <w:rPr>
          <w:rFonts w:asciiTheme="majorHAnsi" w:eastAsiaTheme="majorEastAsia" w:hAnsiTheme="majorHAnsi" w:cstheme="majorBidi"/>
          <w:b/>
          <w:bCs/>
          <w:color w:val="000000" w:themeColor="text1"/>
          <w:lang w:val="es-ES"/>
        </w:rPr>
      </w:pPr>
      <w:r w:rsidRPr="55B6B78E">
        <w:rPr>
          <w:rFonts w:asciiTheme="majorHAnsi" w:eastAsiaTheme="majorEastAsia" w:hAnsiTheme="majorHAnsi" w:cstheme="majorBidi"/>
          <w:b/>
          <w:bCs/>
          <w:color w:val="000000" w:themeColor="text1"/>
          <w:lang w:val="es-ES"/>
        </w:rPr>
        <w:t xml:space="preserve">Panamá, 26 de agosto de 2021. </w:t>
      </w:r>
    </w:p>
    <w:p w14:paraId="45943DB7" w14:textId="3B02497F" w:rsidR="004E1457" w:rsidRDefault="004E1457" w:rsidP="55B6B78E">
      <w:pPr>
        <w:jc w:val="both"/>
        <w:rPr>
          <w:rFonts w:asciiTheme="majorHAnsi" w:eastAsiaTheme="majorEastAsia" w:hAnsiTheme="majorHAnsi" w:cstheme="majorBidi"/>
          <w:color w:val="000000"/>
          <w:lang w:val="es-ES"/>
        </w:rPr>
      </w:pPr>
    </w:p>
    <w:p w14:paraId="61CA5118" w14:textId="5FB24A55" w:rsidR="009A7855" w:rsidRPr="009A7855" w:rsidRDefault="009A7855" w:rsidP="55B6B78E">
      <w:pPr>
        <w:jc w:val="both"/>
        <w:rPr>
          <w:rFonts w:asciiTheme="majorHAnsi" w:eastAsiaTheme="majorEastAsia" w:hAnsiTheme="majorHAnsi" w:cstheme="majorBidi"/>
          <w:b/>
          <w:color w:val="000000"/>
          <w:lang w:val="es-ES"/>
        </w:rPr>
      </w:pPr>
      <w:r w:rsidRPr="009A7855">
        <w:rPr>
          <w:rFonts w:asciiTheme="majorHAnsi" w:eastAsiaTheme="majorEastAsia" w:hAnsiTheme="majorHAnsi" w:cstheme="majorBidi"/>
          <w:b/>
          <w:color w:val="000000"/>
          <w:lang w:val="es-ES"/>
        </w:rPr>
        <w:t>Antecedentes</w:t>
      </w:r>
    </w:p>
    <w:p w14:paraId="7976E585" w14:textId="38109DD6" w:rsidR="55B6B78E" w:rsidRDefault="55B6B78E" w:rsidP="55B6B78E">
      <w:pPr>
        <w:jc w:val="both"/>
        <w:rPr>
          <w:rFonts w:asciiTheme="majorHAnsi" w:eastAsiaTheme="majorEastAsia" w:hAnsiTheme="majorHAnsi" w:cstheme="majorBidi"/>
          <w:color w:val="000000" w:themeColor="text1"/>
          <w:lang w:val="es-ES"/>
        </w:rPr>
      </w:pPr>
      <w:r w:rsidRPr="55B6B78E">
        <w:rPr>
          <w:rFonts w:asciiTheme="majorHAnsi" w:eastAsiaTheme="majorEastAsia" w:hAnsiTheme="majorHAnsi" w:cstheme="majorBidi"/>
          <w:color w:val="000000" w:themeColor="text1"/>
          <w:lang w:val="es-ES"/>
        </w:rPr>
        <w:t>La Red Latinoamericana por la Transparencia Legislativa (</w:t>
      </w:r>
      <w:r w:rsidRPr="55B6B78E">
        <w:rPr>
          <w:rFonts w:asciiTheme="majorHAnsi" w:eastAsiaTheme="majorEastAsia" w:hAnsiTheme="majorHAnsi" w:cstheme="majorBidi"/>
          <w:b/>
          <w:bCs/>
          <w:color w:val="000000" w:themeColor="text1"/>
          <w:lang w:val="es-ES"/>
        </w:rPr>
        <w:t>RLTL</w:t>
      </w:r>
      <w:r w:rsidRPr="55B6B78E">
        <w:rPr>
          <w:rFonts w:asciiTheme="majorHAnsi" w:eastAsiaTheme="majorEastAsia" w:hAnsiTheme="majorHAnsi" w:cstheme="majorBidi"/>
          <w:color w:val="000000" w:themeColor="text1"/>
          <w:lang w:val="es-ES"/>
        </w:rPr>
        <w:t>)</w:t>
      </w:r>
      <w:r w:rsidRPr="55B6B78E">
        <w:rPr>
          <w:rFonts w:asciiTheme="majorHAnsi" w:eastAsiaTheme="majorEastAsia" w:hAnsiTheme="majorHAnsi" w:cstheme="majorBidi"/>
          <w:b/>
          <w:bCs/>
          <w:color w:val="000000" w:themeColor="text1"/>
          <w:lang w:val="es-ES"/>
        </w:rPr>
        <w:t xml:space="preserve"> </w:t>
      </w:r>
      <w:r w:rsidRPr="55B6B78E">
        <w:rPr>
          <w:rFonts w:asciiTheme="majorHAnsi" w:eastAsiaTheme="majorEastAsia" w:hAnsiTheme="majorHAnsi" w:cstheme="majorBidi"/>
          <w:color w:val="000000" w:themeColor="text1"/>
          <w:lang w:val="es-ES"/>
        </w:rPr>
        <w:t xml:space="preserve">está presente en 15 países a través de 32 organizaciones de la sociedad civil, y desde 2010 evalúa y promueve mejores prácticas de transparencia y apertura legislativa a través del </w:t>
      </w:r>
      <w:r w:rsidRPr="55B6B78E">
        <w:rPr>
          <w:rFonts w:asciiTheme="majorHAnsi" w:eastAsiaTheme="majorEastAsia" w:hAnsiTheme="majorHAnsi" w:cstheme="majorBidi"/>
          <w:b/>
          <w:bCs/>
          <w:color w:val="000000" w:themeColor="text1"/>
          <w:lang w:val="es-ES"/>
        </w:rPr>
        <w:t>Índice Latinoamericano de Transparencia Legislativa (ILTL),</w:t>
      </w:r>
      <w:r w:rsidRPr="55B6B78E">
        <w:rPr>
          <w:rFonts w:asciiTheme="majorHAnsi" w:eastAsiaTheme="majorEastAsia" w:hAnsiTheme="majorHAnsi" w:cstheme="majorBidi"/>
          <w:color w:val="000000" w:themeColor="text1"/>
          <w:lang w:val="es-ES"/>
        </w:rPr>
        <w:t xml:space="preserve"> una medición independiente y objetiva, basada en estándares internacionales de mejores prácticas de transparencia. </w:t>
      </w:r>
    </w:p>
    <w:p w14:paraId="2C253379" w14:textId="2597FFDF" w:rsidR="55B6B78E" w:rsidRDefault="55B6B78E" w:rsidP="55B6B78E">
      <w:pPr>
        <w:jc w:val="both"/>
        <w:rPr>
          <w:rFonts w:asciiTheme="majorHAnsi" w:eastAsiaTheme="majorEastAsia" w:hAnsiTheme="majorHAnsi" w:cstheme="majorBidi"/>
          <w:color w:val="000000" w:themeColor="text1"/>
          <w:lang w:val="es-ES"/>
        </w:rPr>
      </w:pPr>
    </w:p>
    <w:p w14:paraId="5B841E3D" w14:textId="533EEF82" w:rsidR="55B6B78E" w:rsidRDefault="55B6B78E" w:rsidP="55B6B78E">
      <w:pPr>
        <w:jc w:val="both"/>
        <w:rPr>
          <w:rFonts w:asciiTheme="majorHAnsi" w:eastAsiaTheme="majorEastAsia" w:hAnsiTheme="majorHAnsi" w:cstheme="majorBidi"/>
          <w:color w:val="000000" w:themeColor="text1"/>
          <w:lang w:val="es-ES"/>
        </w:rPr>
      </w:pPr>
      <w:r w:rsidRPr="55B6B78E">
        <w:rPr>
          <w:rFonts w:asciiTheme="majorHAnsi" w:eastAsiaTheme="majorEastAsia" w:hAnsiTheme="majorHAnsi" w:cstheme="majorBidi"/>
          <w:color w:val="000000" w:themeColor="text1"/>
          <w:lang w:val="es-ES"/>
        </w:rPr>
        <w:t>EL</w:t>
      </w:r>
      <w:r w:rsidRPr="55B6B78E">
        <w:rPr>
          <w:rFonts w:asciiTheme="majorHAnsi" w:eastAsiaTheme="majorEastAsia" w:hAnsiTheme="majorHAnsi" w:cstheme="majorBidi"/>
          <w:b/>
          <w:bCs/>
          <w:color w:val="000000" w:themeColor="text1"/>
          <w:lang w:val="es-ES"/>
        </w:rPr>
        <w:t xml:space="preserve"> ILTL2020+ </w:t>
      </w:r>
      <w:r w:rsidRPr="55B6B78E">
        <w:rPr>
          <w:rFonts w:asciiTheme="majorHAnsi" w:eastAsiaTheme="majorEastAsia" w:hAnsiTheme="majorHAnsi" w:cstheme="majorBidi"/>
          <w:color w:val="000000" w:themeColor="text1"/>
          <w:lang w:val="es-ES"/>
        </w:rPr>
        <w:t xml:space="preserve">es la quinta edición del índice y Panamá ha sido evaluado dos veces: en la edición 2016 y en la edición actual 2020+. En 2016 alcanzó un promedio de 44.33 sobre 100, y resultó clasificado como el quinto parlamento más opaco de la región. En la medición 2020, la Asamblea Nacional de Panamá obtuvo un puntaje general de 35,2% que nos ubica por debajo de la media regional de 39.6%, y nos coloca como el país con el cuarto parlamento más opaco de la región. Alarmantemente, el índice indica un descenso en la transparencia de la Asamblea Nacional. </w:t>
      </w:r>
    </w:p>
    <w:p w14:paraId="462913CA" w14:textId="3CDBFC6F" w:rsidR="55B6B78E" w:rsidRDefault="55B6B78E" w:rsidP="55B6B78E">
      <w:pPr>
        <w:jc w:val="both"/>
        <w:rPr>
          <w:rFonts w:asciiTheme="majorHAnsi" w:eastAsiaTheme="majorEastAsia" w:hAnsiTheme="majorHAnsi" w:cstheme="majorBidi"/>
          <w:color w:val="000000" w:themeColor="text1"/>
          <w:lang w:val="es-ES"/>
        </w:rPr>
      </w:pPr>
    </w:p>
    <w:p w14:paraId="4B0B70E1" w14:textId="030D1E0C" w:rsidR="55B6B78E" w:rsidRDefault="55B6B78E" w:rsidP="55B6B78E">
      <w:pPr>
        <w:jc w:val="both"/>
        <w:rPr>
          <w:rFonts w:asciiTheme="majorHAnsi" w:eastAsiaTheme="majorEastAsia" w:hAnsiTheme="majorHAnsi" w:cstheme="majorBidi"/>
          <w:color w:val="000000" w:themeColor="text1"/>
          <w:lang w:val="es-ES"/>
        </w:rPr>
      </w:pPr>
      <w:r w:rsidRPr="55B6B78E">
        <w:rPr>
          <w:rFonts w:asciiTheme="majorHAnsi" w:eastAsiaTheme="majorEastAsia" w:hAnsiTheme="majorHAnsi" w:cstheme="majorBidi"/>
          <w:color w:val="000000" w:themeColor="text1"/>
          <w:lang w:val="es-ES"/>
        </w:rPr>
        <w:t xml:space="preserve">La medición para Panamá ha sido hecha en ambos índices, 2016 y 2020, por la Fundación para el Desarrollo de la Libertad Ciudadana - Capítulo Panameño de la Sociedad Civil, como miembro de la Red Latinoamericana de Transparencia Legislativa. </w:t>
      </w:r>
    </w:p>
    <w:p w14:paraId="3EB76A28" w14:textId="08BAF6F9" w:rsidR="55B6B78E" w:rsidRDefault="55B6B78E" w:rsidP="55B6B78E">
      <w:pPr>
        <w:jc w:val="both"/>
        <w:rPr>
          <w:rFonts w:asciiTheme="majorHAnsi" w:eastAsiaTheme="majorEastAsia" w:hAnsiTheme="majorHAnsi" w:cstheme="majorBidi"/>
          <w:color w:val="000000" w:themeColor="text1"/>
          <w:lang w:val="es-ES"/>
        </w:rPr>
      </w:pPr>
    </w:p>
    <w:p w14:paraId="6E403966" w14:textId="146E5900" w:rsidR="55B6B78E" w:rsidRDefault="55B6B78E" w:rsidP="55B6B78E">
      <w:pPr>
        <w:jc w:val="both"/>
        <w:rPr>
          <w:rFonts w:asciiTheme="majorHAnsi" w:eastAsiaTheme="majorEastAsia" w:hAnsiTheme="majorHAnsi" w:cstheme="majorBidi"/>
          <w:b/>
          <w:bCs/>
          <w:lang w:val="es-ES"/>
        </w:rPr>
      </w:pPr>
      <w:r w:rsidRPr="55B6B78E">
        <w:rPr>
          <w:rFonts w:asciiTheme="majorHAnsi" w:eastAsiaTheme="majorEastAsia" w:hAnsiTheme="majorHAnsi" w:cstheme="majorBidi"/>
          <w:b/>
          <w:bCs/>
          <w:lang w:val="es-ES"/>
        </w:rPr>
        <w:t>La medición</w:t>
      </w:r>
    </w:p>
    <w:p w14:paraId="36D2F940" w14:textId="619A732A" w:rsidR="55B6B78E" w:rsidRDefault="55B6B78E" w:rsidP="55B6B78E">
      <w:pPr>
        <w:jc w:val="both"/>
        <w:rPr>
          <w:rFonts w:asciiTheme="majorHAnsi" w:eastAsiaTheme="majorEastAsia" w:hAnsiTheme="majorHAnsi" w:cstheme="majorBidi"/>
          <w:color w:val="000000" w:themeColor="text1"/>
          <w:lang w:val="es-ES"/>
        </w:rPr>
      </w:pPr>
    </w:p>
    <w:p w14:paraId="0CF7AB02" w14:textId="65AAD4F1" w:rsidR="55B6B78E" w:rsidRDefault="55B6B78E" w:rsidP="55B6B78E">
      <w:pPr>
        <w:jc w:val="both"/>
        <w:rPr>
          <w:rFonts w:asciiTheme="majorHAnsi" w:eastAsiaTheme="majorEastAsia" w:hAnsiTheme="majorHAnsi" w:cstheme="majorBidi"/>
          <w:color w:val="000000" w:themeColor="text1"/>
          <w:lang w:val="es-ES"/>
        </w:rPr>
      </w:pPr>
      <w:r w:rsidRPr="55B6B78E">
        <w:rPr>
          <w:rFonts w:asciiTheme="majorHAnsi" w:eastAsiaTheme="majorEastAsia" w:hAnsiTheme="majorHAnsi" w:cstheme="majorBidi"/>
          <w:color w:val="000000" w:themeColor="text1"/>
          <w:lang w:val="es-ES"/>
        </w:rPr>
        <w:t xml:space="preserve">En esta edición, el </w:t>
      </w:r>
      <w:r w:rsidRPr="55B6B78E">
        <w:rPr>
          <w:rFonts w:asciiTheme="majorHAnsi" w:eastAsiaTheme="majorEastAsia" w:hAnsiTheme="majorHAnsi" w:cstheme="majorBidi"/>
          <w:b/>
          <w:bCs/>
          <w:color w:val="000000" w:themeColor="text1"/>
          <w:lang w:val="es-ES"/>
        </w:rPr>
        <w:t xml:space="preserve">ILTL2020+ </w:t>
      </w:r>
      <w:r w:rsidRPr="55B6B78E">
        <w:rPr>
          <w:rFonts w:asciiTheme="majorHAnsi" w:eastAsiaTheme="majorEastAsia" w:hAnsiTheme="majorHAnsi" w:cstheme="majorBidi"/>
          <w:color w:val="000000" w:themeColor="text1"/>
          <w:lang w:val="es-ES"/>
        </w:rPr>
        <w:t xml:space="preserve">se renueva y presenta  una metodología actualizada, que atañe un valor numérico a la información recogida por medio de las distintas preguntas, </w:t>
      </w:r>
      <w:proofErr w:type="spellStart"/>
      <w:r w:rsidRPr="55B6B78E">
        <w:rPr>
          <w:rFonts w:asciiTheme="majorHAnsi" w:eastAsiaTheme="majorEastAsia" w:hAnsiTheme="majorHAnsi" w:cstheme="majorBidi"/>
          <w:color w:val="000000" w:themeColor="text1"/>
          <w:lang w:val="es-ES"/>
        </w:rPr>
        <w:t>subdimensiones</w:t>
      </w:r>
      <w:proofErr w:type="spellEnd"/>
      <w:r w:rsidRPr="55B6B78E">
        <w:rPr>
          <w:rFonts w:asciiTheme="majorHAnsi" w:eastAsiaTheme="majorEastAsia" w:hAnsiTheme="majorHAnsi" w:cstheme="majorBidi"/>
          <w:color w:val="000000" w:themeColor="text1"/>
          <w:lang w:val="es-ES"/>
        </w:rPr>
        <w:t xml:space="preserve"> y dimensiones que componen el índice, con verificación de técnicos externos,  y compartiendo los resultados de las investigaciones con los parlamentos evaluados, para recibir su retroalimentación, antes de ponderar el índice. </w:t>
      </w:r>
    </w:p>
    <w:p w14:paraId="2000ECFA" w14:textId="4F9917EC" w:rsidR="55B6B78E" w:rsidRDefault="55B6B78E" w:rsidP="55B6B78E">
      <w:pPr>
        <w:jc w:val="both"/>
        <w:rPr>
          <w:rFonts w:asciiTheme="majorHAnsi" w:eastAsiaTheme="majorEastAsia" w:hAnsiTheme="majorHAnsi" w:cstheme="majorBidi"/>
          <w:color w:val="000000" w:themeColor="text1"/>
          <w:lang w:val="es-ES"/>
        </w:rPr>
      </w:pPr>
    </w:p>
    <w:p w14:paraId="39A18857" w14:textId="33F1441C" w:rsidR="55B6B78E" w:rsidRDefault="55B6B78E" w:rsidP="55B6B78E">
      <w:pPr>
        <w:jc w:val="both"/>
        <w:rPr>
          <w:rFonts w:asciiTheme="majorHAnsi" w:eastAsiaTheme="majorEastAsia" w:hAnsiTheme="majorHAnsi" w:cstheme="majorBidi"/>
          <w:color w:val="000000" w:themeColor="text1"/>
          <w:lang w:val="es-ES"/>
        </w:rPr>
      </w:pPr>
      <w:r w:rsidRPr="55B6B78E">
        <w:rPr>
          <w:rFonts w:asciiTheme="majorHAnsi" w:eastAsiaTheme="majorEastAsia" w:hAnsiTheme="majorHAnsi" w:cstheme="majorBidi"/>
          <w:color w:val="000000" w:themeColor="text1"/>
          <w:lang w:val="es-ES"/>
        </w:rPr>
        <w:t xml:space="preserve">El Índice califica a los cuerpos legislativos de los países evaluados de acuerdo a un puntaje de 0 (no transparente - cerrado) y 100 (transparente - abierto) a través de una medición basada en los estándares de parlamento abierto, en cuatro dimensiones: </w:t>
      </w:r>
    </w:p>
    <w:p w14:paraId="3AEB27C1" w14:textId="1D393BE2" w:rsidR="55B6B78E" w:rsidRDefault="55B6B78E" w:rsidP="55B6B78E">
      <w:pPr>
        <w:jc w:val="both"/>
        <w:rPr>
          <w:rFonts w:asciiTheme="majorHAnsi" w:eastAsiaTheme="majorEastAsia" w:hAnsiTheme="majorHAnsi" w:cstheme="majorBidi"/>
          <w:color w:val="000000" w:themeColor="text1"/>
          <w:lang w:val="es-ES"/>
        </w:rPr>
      </w:pPr>
    </w:p>
    <w:p w14:paraId="548598EF" w14:textId="40674EA4" w:rsidR="55B6B78E" w:rsidRDefault="55B6B78E" w:rsidP="55B6B78E">
      <w:pPr>
        <w:pStyle w:val="ListParagraph"/>
        <w:numPr>
          <w:ilvl w:val="0"/>
          <w:numId w:val="5"/>
        </w:numPr>
        <w:jc w:val="both"/>
        <w:rPr>
          <w:rFonts w:asciiTheme="majorHAnsi" w:eastAsiaTheme="majorEastAsia" w:hAnsiTheme="majorHAnsi" w:cstheme="majorBidi"/>
          <w:color w:val="000000" w:themeColor="text1"/>
          <w:lang w:val="es-ES"/>
        </w:rPr>
      </w:pPr>
      <w:r w:rsidRPr="55B6B78E">
        <w:rPr>
          <w:rFonts w:asciiTheme="majorHAnsi" w:eastAsiaTheme="majorEastAsia" w:hAnsiTheme="majorHAnsi" w:cstheme="majorBidi"/>
          <w:color w:val="000000" w:themeColor="text1"/>
          <w:lang w:val="es-ES"/>
        </w:rPr>
        <w:t xml:space="preserve">Normativa con que se auto regula en propio congreso.  </w:t>
      </w:r>
    </w:p>
    <w:p w14:paraId="77427A7D" w14:textId="63423673" w:rsidR="55B6B78E" w:rsidRDefault="55B6B78E" w:rsidP="55B6B78E">
      <w:pPr>
        <w:pStyle w:val="ListParagraph"/>
        <w:numPr>
          <w:ilvl w:val="0"/>
          <w:numId w:val="5"/>
        </w:numPr>
        <w:jc w:val="both"/>
        <w:rPr>
          <w:rFonts w:asciiTheme="majorHAnsi" w:eastAsiaTheme="majorEastAsia" w:hAnsiTheme="majorHAnsi" w:cstheme="majorBidi"/>
          <w:color w:val="000000" w:themeColor="text1"/>
          <w:lang w:val="es-ES"/>
        </w:rPr>
      </w:pPr>
      <w:r w:rsidRPr="55B6B78E">
        <w:rPr>
          <w:rFonts w:asciiTheme="majorHAnsi" w:eastAsiaTheme="majorEastAsia" w:hAnsiTheme="majorHAnsi" w:cstheme="majorBidi"/>
          <w:color w:val="000000" w:themeColor="text1"/>
          <w:lang w:val="es-ES"/>
        </w:rPr>
        <w:t xml:space="preserve">Labor del congreso en sus tres funciones: hacer leyes, ser órgano de control de otros poderes del Estado y representar la voluntad ciudadana. </w:t>
      </w:r>
    </w:p>
    <w:p w14:paraId="70FA3239" w14:textId="6CA74623" w:rsidR="55B6B78E" w:rsidRDefault="55B6B78E" w:rsidP="55B6B78E">
      <w:pPr>
        <w:pStyle w:val="ListParagraph"/>
        <w:numPr>
          <w:ilvl w:val="0"/>
          <w:numId w:val="5"/>
        </w:numPr>
        <w:jc w:val="both"/>
        <w:rPr>
          <w:rFonts w:asciiTheme="majorHAnsi" w:eastAsiaTheme="majorEastAsia" w:hAnsiTheme="majorHAnsi" w:cstheme="majorBidi"/>
          <w:color w:val="000000" w:themeColor="text1"/>
          <w:lang w:val="es-ES"/>
        </w:rPr>
      </w:pPr>
      <w:r w:rsidRPr="55B6B78E">
        <w:rPr>
          <w:rFonts w:asciiTheme="majorHAnsi" w:eastAsiaTheme="majorEastAsia" w:hAnsiTheme="majorHAnsi" w:cstheme="majorBidi"/>
          <w:color w:val="000000" w:themeColor="text1"/>
          <w:lang w:val="es-ES"/>
        </w:rPr>
        <w:t xml:space="preserve">Gestión administrativa. </w:t>
      </w:r>
    </w:p>
    <w:p w14:paraId="020DFD94" w14:textId="3CA45344" w:rsidR="55B6B78E" w:rsidRDefault="55B6B78E" w:rsidP="55B6B78E">
      <w:pPr>
        <w:pStyle w:val="ListParagraph"/>
        <w:numPr>
          <w:ilvl w:val="0"/>
          <w:numId w:val="5"/>
        </w:numPr>
        <w:jc w:val="both"/>
        <w:rPr>
          <w:rFonts w:asciiTheme="majorHAnsi" w:eastAsiaTheme="majorEastAsia" w:hAnsiTheme="majorHAnsi" w:cstheme="majorBidi"/>
          <w:color w:val="000000" w:themeColor="text1"/>
          <w:lang w:val="es-ES"/>
        </w:rPr>
      </w:pPr>
      <w:r w:rsidRPr="55B6B78E">
        <w:rPr>
          <w:rFonts w:asciiTheme="majorHAnsi" w:eastAsiaTheme="majorEastAsia" w:hAnsiTheme="majorHAnsi" w:cstheme="majorBidi"/>
          <w:color w:val="000000" w:themeColor="text1"/>
          <w:lang w:val="es-ES"/>
        </w:rPr>
        <w:t>Participación ciudadana.</w:t>
      </w:r>
    </w:p>
    <w:p w14:paraId="64F2B15C" w14:textId="0913E8BB" w:rsidR="55B6B78E" w:rsidRDefault="55B6B78E" w:rsidP="55B6B78E">
      <w:pPr>
        <w:jc w:val="both"/>
        <w:rPr>
          <w:rFonts w:asciiTheme="majorHAnsi" w:eastAsiaTheme="majorEastAsia" w:hAnsiTheme="majorHAnsi" w:cstheme="majorBidi"/>
          <w:color w:val="000000" w:themeColor="text1"/>
          <w:lang w:val="es-ES"/>
        </w:rPr>
      </w:pPr>
    </w:p>
    <w:p w14:paraId="4C638D09" w14:textId="4D12A5BC" w:rsidR="55B6B78E" w:rsidRDefault="55B6B78E" w:rsidP="55B6B78E">
      <w:pPr>
        <w:jc w:val="both"/>
        <w:rPr>
          <w:rFonts w:asciiTheme="majorHAnsi" w:eastAsiaTheme="majorEastAsia" w:hAnsiTheme="majorHAnsi" w:cstheme="majorBidi"/>
          <w:b/>
          <w:bCs/>
          <w:lang w:val="es-ES"/>
        </w:rPr>
      </w:pPr>
      <w:r w:rsidRPr="55B6B78E">
        <w:rPr>
          <w:rFonts w:asciiTheme="majorHAnsi" w:eastAsiaTheme="majorEastAsia" w:hAnsiTheme="majorHAnsi" w:cstheme="majorBidi"/>
          <w:b/>
          <w:bCs/>
          <w:lang w:val="es-ES"/>
        </w:rPr>
        <w:lastRenderedPageBreak/>
        <w:t>Resultados de Panamá</w:t>
      </w:r>
    </w:p>
    <w:p w14:paraId="57435FB7" w14:textId="77777777" w:rsidR="004E1457" w:rsidRPr="004E1457" w:rsidRDefault="004E1457" w:rsidP="55B6B78E">
      <w:pPr>
        <w:jc w:val="both"/>
        <w:rPr>
          <w:rFonts w:asciiTheme="majorHAnsi" w:eastAsiaTheme="majorEastAsia" w:hAnsiTheme="majorHAnsi" w:cstheme="majorBidi"/>
          <w:lang w:val="es-ES"/>
        </w:rPr>
      </w:pPr>
    </w:p>
    <w:p w14:paraId="602D6059" w14:textId="2FDC4A1D" w:rsidR="55B6B78E" w:rsidRDefault="55B6B78E" w:rsidP="55B6B78E">
      <w:pPr>
        <w:jc w:val="both"/>
        <w:rPr>
          <w:rFonts w:asciiTheme="majorHAnsi" w:eastAsiaTheme="majorEastAsia" w:hAnsiTheme="majorHAnsi" w:cstheme="majorBidi"/>
          <w:color w:val="000000" w:themeColor="text1"/>
          <w:lang w:val="es-ES"/>
        </w:rPr>
      </w:pPr>
      <w:r w:rsidRPr="55B6B78E">
        <w:rPr>
          <w:rFonts w:asciiTheme="majorHAnsi" w:eastAsiaTheme="majorEastAsia" w:hAnsiTheme="majorHAnsi" w:cstheme="majorBidi"/>
          <w:color w:val="000000" w:themeColor="text1"/>
          <w:lang w:val="es-ES"/>
        </w:rPr>
        <w:t>En esta edición del ITLT2020+, los países evaluados son: Argentina, Bolivia, Chile, Colombia, Costa Rica, Ecuador, Guatemala, Honduras, México, Panamá, Paraguay, Perú y Venezuela. Dando como resultado una media regional de 39,6%, siendo Chile el país mejor evaluado con un puntaje de 59,6% y Venezuela el peor evaluado con un puntaje de 16,3%.  </w:t>
      </w:r>
    </w:p>
    <w:p w14:paraId="0D4A4B1D" w14:textId="185AF30A" w:rsidR="55B6B78E" w:rsidRDefault="55B6B78E" w:rsidP="55B6B78E">
      <w:pPr>
        <w:jc w:val="both"/>
        <w:rPr>
          <w:rFonts w:asciiTheme="majorHAnsi" w:eastAsiaTheme="majorEastAsia" w:hAnsiTheme="majorHAnsi" w:cstheme="majorBidi"/>
          <w:color w:val="000000" w:themeColor="text1"/>
          <w:lang w:val="es-ES"/>
        </w:rPr>
      </w:pPr>
    </w:p>
    <w:p w14:paraId="202BE09A" w14:textId="301C2006" w:rsidR="55B6B78E" w:rsidRDefault="55B6B78E" w:rsidP="55B6B78E">
      <w:pPr>
        <w:jc w:val="both"/>
        <w:rPr>
          <w:rFonts w:asciiTheme="majorHAnsi" w:eastAsiaTheme="majorEastAsia" w:hAnsiTheme="majorHAnsi" w:cstheme="majorBidi"/>
          <w:color w:val="000000" w:themeColor="text1"/>
          <w:lang w:val="es-ES"/>
        </w:rPr>
      </w:pPr>
      <w:r w:rsidRPr="55B6B78E">
        <w:rPr>
          <w:rFonts w:asciiTheme="majorHAnsi" w:eastAsiaTheme="majorEastAsia" w:hAnsiTheme="majorHAnsi" w:cstheme="majorBidi"/>
          <w:color w:val="000000" w:themeColor="text1"/>
          <w:lang w:val="es-ES"/>
        </w:rPr>
        <w:t xml:space="preserve">La Asamblea Nacional de Panamá obtuvo un puntaje general de 35,2% que promedia los puntajes obtenidos en cada dimensión: </w:t>
      </w:r>
    </w:p>
    <w:p w14:paraId="3580902B" w14:textId="0B24A093" w:rsidR="55B6B78E" w:rsidRDefault="55B6B78E" w:rsidP="55B6B78E">
      <w:pPr>
        <w:jc w:val="both"/>
        <w:rPr>
          <w:rFonts w:asciiTheme="majorHAnsi" w:eastAsiaTheme="majorEastAsia" w:hAnsiTheme="majorHAnsi" w:cstheme="majorBidi"/>
          <w:color w:val="000000" w:themeColor="text1"/>
          <w:lang w:val="es-ES"/>
        </w:rPr>
      </w:pPr>
    </w:p>
    <w:p w14:paraId="17498554" w14:textId="4912B11E" w:rsidR="55B6B78E" w:rsidRDefault="55B6B78E" w:rsidP="55B6B78E">
      <w:pPr>
        <w:pStyle w:val="ListParagraph"/>
        <w:numPr>
          <w:ilvl w:val="0"/>
          <w:numId w:val="6"/>
        </w:numPr>
        <w:jc w:val="both"/>
        <w:rPr>
          <w:rFonts w:asciiTheme="majorHAnsi" w:eastAsiaTheme="majorEastAsia" w:hAnsiTheme="majorHAnsi" w:cstheme="majorBidi"/>
          <w:color w:val="000000" w:themeColor="text1"/>
          <w:lang w:val="es-ES"/>
        </w:rPr>
      </w:pPr>
      <w:r w:rsidRPr="55B6B78E">
        <w:rPr>
          <w:rFonts w:asciiTheme="majorHAnsi" w:eastAsiaTheme="majorEastAsia" w:hAnsiTheme="majorHAnsi" w:cstheme="majorBidi"/>
          <w:color w:val="000000" w:themeColor="text1"/>
          <w:lang w:val="es-ES"/>
        </w:rPr>
        <w:t>Dimensión Normativa: La Asamblea Nacional obtuvo la puntuación más baja de la región, con un 17,5%, principalmente por la ausencia de normativa básica de transparencia y probidad.</w:t>
      </w:r>
    </w:p>
    <w:p w14:paraId="27F51EBA" w14:textId="4EF7425F" w:rsidR="55B6B78E" w:rsidRDefault="55B6B78E" w:rsidP="55B6B78E">
      <w:pPr>
        <w:jc w:val="both"/>
        <w:rPr>
          <w:rFonts w:asciiTheme="majorHAnsi" w:eastAsiaTheme="majorEastAsia" w:hAnsiTheme="majorHAnsi" w:cstheme="majorBidi"/>
          <w:color w:val="000000" w:themeColor="text1"/>
          <w:lang w:val="es-ES"/>
        </w:rPr>
      </w:pPr>
    </w:p>
    <w:p w14:paraId="19CB3F0E" w14:textId="2E502BCE" w:rsidR="55B6B78E" w:rsidRDefault="55B6B78E" w:rsidP="55B6B78E">
      <w:pPr>
        <w:pStyle w:val="ListParagraph"/>
        <w:numPr>
          <w:ilvl w:val="0"/>
          <w:numId w:val="6"/>
        </w:numPr>
        <w:jc w:val="both"/>
        <w:rPr>
          <w:rFonts w:asciiTheme="majorHAnsi" w:eastAsiaTheme="majorEastAsia" w:hAnsiTheme="majorHAnsi" w:cstheme="majorBidi"/>
          <w:color w:val="000000" w:themeColor="text1"/>
          <w:lang w:val="es-ES"/>
        </w:rPr>
      </w:pPr>
      <w:r w:rsidRPr="55B6B78E">
        <w:rPr>
          <w:rFonts w:asciiTheme="majorHAnsi" w:eastAsiaTheme="majorEastAsia" w:hAnsiTheme="majorHAnsi" w:cstheme="majorBidi"/>
          <w:color w:val="000000" w:themeColor="text1"/>
          <w:lang w:val="es-ES"/>
        </w:rPr>
        <w:t>Dimensión Presupuesto y Gestión Administrativa:  La Asamblea Nacional también se encuentra entre los países con mayor ausencia de estructuras de transparencia administrativa, con un 11,8%, ocupando la posición del cuarto país más opaco entre 13 países.</w:t>
      </w:r>
    </w:p>
    <w:p w14:paraId="5F2D7347" w14:textId="3F0B25DD" w:rsidR="55B6B78E" w:rsidRDefault="55B6B78E" w:rsidP="55B6B78E">
      <w:pPr>
        <w:jc w:val="both"/>
        <w:rPr>
          <w:rFonts w:asciiTheme="majorHAnsi" w:eastAsiaTheme="majorEastAsia" w:hAnsiTheme="majorHAnsi" w:cstheme="majorBidi"/>
          <w:color w:val="000000" w:themeColor="text1"/>
          <w:lang w:val="es-ES"/>
        </w:rPr>
      </w:pPr>
    </w:p>
    <w:p w14:paraId="66142E0E" w14:textId="01EB495B" w:rsidR="55B6B78E" w:rsidRDefault="55B6B78E" w:rsidP="55B6B78E">
      <w:pPr>
        <w:pStyle w:val="ListParagraph"/>
        <w:numPr>
          <w:ilvl w:val="0"/>
          <w:numId w:val="6"/>
        </w:numPr>
        <w:jc w:val="both"/>
        <w:rPr>
          <w:rFonts w:asciiTheme="majorHAnsi" w:eastAsiaTheme="majorEastAsia" w:hAnsiTheme="majorHAnsi" w:cstheme="majorBidi"/>
          <w:color w:val="000000" w:themeColor="text1"/>
          <w:lang w:val="es-ES"/>
        </w:rPr>
      </w:pPr>
      <w:r w:rsidRPr="55B6B78E">
        <w:rPr>
          <w:rFonts w:asciiTheme="majorHAnsi" w:eastAsiaTheme="majorEastAsia" w:hAnsiTheme="majorHAnsi" w:cstheme="majorBidi"/>
          <w:color w:val="000000" w:themeColor="text1"/>
          <w:lang w:val="es-ES"/>
        </w:rPr>
        <w:t>Dimensión Labor del Congreso: La Asamblea Nacional se encuentra sobre la media con una puntuación de 48,6%, y ocupa la posición de 6 entre 13 países.</w:t>
      </w:r>
    </w:p>
    <w:p w14:paraId="625FB421" w14:textId="38674918" w:rsidR="55B6B78E" w:rsidRDefault="55B6B78E" w:rsidP="55B6B78E">
      <w:pPr>
        <w:jc w:val="both"/>
        <w:rPr>
          <w:rFonts w:asciiTheme="majorHAnsi" w:eastAsiaTheme="majorEastAsia" w:hAnsiTheme="majorHAnsi" w:cstheme="majorBidi"/>
          <w:color w:val="000000" w:themeColor="text1"/>
          <w:lang w:val="es-ES"/>
        </w:rPr>
      </w:pPr>
    </w:p>
    <w:p w14:paraId="2C07A218" w14:textId="7DFA37A0" w:rsidR="55B6B78E" w:rsidRDefault="55B6B78E" w:rsidP="55B6B78E">
      <w:pPr>
        <w:pStyle w:val="ListParagraph"/>
        <w:numPr>
          <w:ilvl w:val="0"/>
          <w:numId w:val="6"/>
        </w:numPr>
        <w:jc w:val="both"/>
        <w:rPr>
          <w:rFonts w:asciiTheme="majorHAnsi" w:eastAsiaTheme="majorEastAsia" w:hAnsiTheme="majorHAnsi" w:cstheme="majorBidi"/>
          <w:color w:val="000000" w:themeColor="text1"/>
          <w:lang w:val="es-ES"/>
        </w:rPr>
      </w:pPr>
      <w:r w:rsidRPr="55B6B78E">
        <w:rPr>
          <w:rFonts w:asciiTheme="majorHAnsi" w:eastAsiaTheme="majorEastAsia" w:hAnsiTheme="majorHAnsi" w:cstheme="majorBidi"/>
          <w:color w:val="000000" w:themeColor="text1"/>
          <w:lang w:val="es-ES"/>
        </w:rPr>
        <w:t>Dimensión de Participación Ciudadana: la Asamblea Nacional obtuvo un 50,0%, es la dimensión mejor evaluada, ligeramente por encima de la media, y ocupa la posición 6 entre 13 países.</w:t>
      </w:r>
    </w:p>
    <w:p w14:paraId="6D9E2858" w14:textId="37CEF86B" w:rsidR="00C60358" w:rsidRDefault="00C60358" w:rsidP="55B6B78E">
      <w:pPr>
        <w:jc w:val="both"/>
        <w:rPr>
          <w:rFonts w:asciiTheme="majorHAnsi" w:eastAsiaTheme="majorEastAsia" w:hAnsiTheme="majorHAnsi" w:cstheme="majorBidi"/>
          <w:lang w:val="es-ES"/>
        </w:rPr>
      </w:pPr>
    </w:p>
    <w:p w14:paraId="29883506" w14:textId="106B1A72" w:rsidR="00C60358" w:rsidRDefault="55B6B78E" w:rsidP="55B6B78E">
      <w:pPr>
        <w:jc w:val="both"/>
        <w:rPr>
          <w:rFonts w:asciiTheme="majorHAnsi" w:eastAsiaTheme="majorEastAsia" w:hAnsiTheme="majorHAnsi" w:cstheme="majorBidi"/>
          <w:b/>
          <w:bCs/>
          <w:lang w:val="es-ES"/>
        </w:rPr>
      </w:pPr>
      <w:r w:rsidRPr="55B6B78E">
        <w:rPr>
          <w:rFonts w:asciiTheme="majorHAnsi" w:eastAsiaTheme="majorEastAsia" w:hAnsiTheme="majorHAnsi" w:cstheme="majorBidi"/>
          <w:b/>
          <w:bCs/>
          <w:lang w:val="es-ES"/>
        </w:rPr>
        <w:t>Principales Recomendaciones</w:t>
      </w:r>
    </w:p>
    <w:p w14:paraId="70865E3D" w14:textId="18B6E005" w:rsidR="00C60358" w:rsidRDefault="00C60358" w:rsidP="55B6B78E">
      <w:pPr>
        <w:jc w:val="both"/>
        <w:rPr>
          <w:rFonts w:asciiTheme="majorHAnsi" w:eastAsiaTheme="majorEastAsia" w:hAnsiTheme="majorHAnsi" w:cstheme="majorBidi"/>
          <w:lang w:val="es-ES"/>
        </w:rPr>
      </w:pPr>
    </w:p>
    <w:p w14:paraId="33010136" w14:textId="6486C2A4" w:rsidR="00C60358" w:rsidRDefault="55B6B78E" w:rsidP="55B6B78E">
      <w:pPr>
        <w:spacing w:line="259" w:lineRule="auto"/>
        <w:jc w:val="both"/>
        <w:rPr>
          <w:rFonts w:asciiTheme="majorHAnsi" w:eastAsiaTheme="majorEastAsia" w:hAnsiTheme="majorHAnsi" w:cstheme="majorBidi"/>
          <w:lang w:val="es-ES"/>
        </w:rPr>
      </w:pPr>
      <w:r w:rsidRPr="55B6B78E">
        <w:rPr>
          <w:rFonts w:asciiTheme="majorHAnsi" w:eastAsiaTheme="majorEastAsia" w:hAnsiTheme="majorHAnsi" w:cstheme="majorBidi"/>
          <w:lang w:val="es-ES"/>
        </w:rPr>
        <w:t xml:space="preserve">El reporte del ILTL202+, en la sección de Panamá, págs. 168-182, en términos generales, el nivel de transparencia legislativa de la Asamblea Nacional de Panamá resulta deficitario. Contamos con un marco normativo débil y vacíos regulatorios de importancia. Los principales hallazgos también son la hoja de ruta para el cambio de gestión de la Asamblea Nacional, a saber: </w:t>
      </w:r>
    </w:p>
    <w:p w14:paraId="0BACA184" w14:textId="509E7AB6" w:rsidR="00C60358" w:rsidRDefault="00C60358" w:rsidP="55B6B78E">
      <w:pPr>
        <w:jc w:val="both"/>
        <w:rPr>
          <w:rFonts w:asciiTheme="majorHAnsi" w:eastAsiaTheme="majorEastAsia" w:hAnsiTheme="majorHAnsi" w:cstheme="majorBidi"/>
          <w:lang w:val="es-ES"/>
        </w:rPr>
      </w:pPr>
    </w:p>
    <w:p w14:paraId="6261D986" w14:textId="79FF6B78" w:rsidR="00C60358" w:rsidRDefault="55B6B78E" w:rsidP="55B6B78E">
      <w:pPr>
        <w:pStyle w:val="ListParagraph"/>
        <w:numPr>
          <w:ilvl w:val="0"/>
          <w:numId w:val="3"/>
        </w:numPr>
        <w:jc w:val="both"/>
        <w:rPr>
          <w:rFonts w:asciiTheme="majorHAnsi" w:eastAsiaTheme="majorEastAsia" w:hAnsiTheme="majorHAnsi" w:cstheme="majorBidi"/>
          <w:lang w:val="es-ES"/>
        </w:rPr>
      </w:pPr>
      <w:r w:rsidRPr="55B6B78E">
        <w:rPr>
          <w:rFonts w:asciiTheme="majorHAnsi" w:eastAsiaTheme="majorEastAsia" w:hAnsiTheme="majorHAnsi" w:cstheme="majorBidi"/>
          <w:lang w:val="es-ES"/>
        </w:rPr>
        <w:t>La Asamblea Nacional no cuenta con regulación específica sobre la transparencia y el acceso a la información de la Asamblea Nacional</w:t>
      </w:r>
    </w:p>
    <w:p w14:paraId="08669346" w14:textId="156B9213" w:rsidR="00C60358" w:rsidRDefault="55B6B78E" w:rsidP="55B6B78E">
      <w:pPr>
        <w:pStyle w:val="ListParagraph"/>
        <w:numPr>
          <w:ilvl w:val="0"/>
          <w:numId w:val="4"/>
        </w:numPr>
        <w:jc w:val="both"/>
        <w:rPr>
          <w:rFonts w:asciiTheme="majorHAnsi" w:eastAsiaTheme="majorEastAsia" w:hAnsiTheme="majorHAnsi" w:cstheme="majorBidi"/>
          <w:lang w:val="es-ES"/>
        </w:rPr>
      </w:pPr>
      <w:r w:rsidRPr="55B6B78E">
        <w:rPr>
          <w:rFonts w:asciiTheme="majorHAnsi" w:eastAsiaTheme="majorEastAsia" w:hAnsiTheme="majorHAnsi" w:cstheme="majorBidi"/>
          <w:lang w:val="es-ES"/>
        </w:rPr>
        <w:t xml:space="preserve">No hay un marco normativo que aborde: </w:t>
      </w:r>
    </w:p>
    <w:p w14:paraId="25699256" w14:textId="2A78BC54" w:rsidR="00C60358" w:rsidRDefault="55B6B78E" w:rsidP="55B6B78E">
      <w:pPr>
        <w:pStyle w:val="ListParagraph"/>
        <w:numPr>
          <w:ilvl w:val="1"/>
          <w:numId w:val="4"/>
        </w:numPr>
        <w:jc w:val="both"/>
        <w:rPr>
          <w:rFonts w:asciiTheme="majorHAnsi" w:eastAsiaTheme="majorEastAsia" w:hAnsiTheme="majorHAnsi" w:cstheme="majorBidi"/>
          <w:lang w:val="es-ES"/>
        </w:rPr>
      </w:pPr>
      <w:r w:rsidRPr="55B6B78E">
        <w:rPr>
          <w:rFonts w:asciiTheme="majorHAnsi" w:eastAsiaTheme="majorEastAsia" w:hAnsiTheme="majorHAnsi" w:cstheme="majorBidi"/>
          <w:lang w:val="es-ES"/>
        </w:rPr>
        <w:t xml:space="preserve">Gestión documental. </w:t>
      </w:r>
    </w:p>
    <w:p w14:paraId="48FB3F46" w14:textId="685EF02C" w:rsidR="00C60358" w:rsidRDefault="55B6B78E" w:rsidP="55B6B78E">
      <w:pPr>
        <w:pStyle w:val="ListParagraph"/>
        <w:numPr>
          <w:ilvl w:val="1"/>
          <w:numId w:val="4"/>
        </w:numPr>
        <w:jc w:val="both"/>
        <w:rPr>
          <w:rFonts w:asciiTheme="majorHAnsi" w:eastAsiaTheme="majorEastAsia" w:hAnsiTheme="majorHAnsi" w:cstheme="majorBidi"/>
          <w:lang w:val="es-ES"/>
        </w:rPr>
      </w:pPr>
      <w:r w:rsidRPr="55B6B78E">
        <w:rPr>
          <w:rFonts w:asciiTheme="majorHAnsi" w:eastAsiaTheme="majorEastAsia" w:hAnsiTheme="majorHAnsi" w:cstheme="majorBidi"/>
          <w:lang w:val="es-ES"/>
        </w:rPr>
        <w:t>Datos abiertos.</w:t>
      </w:r>
    </w:p>
    <w:p w14:paraId="7EA184EE" w14:textId="70B0DEE7" w:rsidR="00C60358" w:rsidRDefault="55B6B78E" w:rsidP="55B6B78E">
      <w:pPr>
        <w:pStyle w:val="ListParagraph"/>
        <w:numPr>
          <w:ilvl w:val="1"/>
          <w:numId w:val="4"/>
        </w:numPr>
        <w:jc w:val="both"/>
        <w:rPr>
          <w:rFonts w:asciiTheme="majorHAnsi" w:eastAsiaTheme="majorEastAsia" w:hAnsiTheme="majorHAnsi" w:cstheme="majorBidi"/>
          <w:lang w:val="es-ES"/>
        </w:rPr>
      </w:pPr>
      <w:r w:rsidRPr="55B6B78E">
        <w:rPr>
          <w:rFonts w:asciiTheme="majorHAnsi" w:eastAsiaTheme="majorEastAsia" w:hAnsiTheme="majorHAnsi" w:cstheme="majorBidi"/>
          <w:lang w:val="es-ES"/>
        </w:rPr>
        <w:t>Calidad de datos.</w:t>
      </w:r>
    </w:p>
    <w:p w14:paraId="75CC9E76" w14:textId="410B15D4" w:rsidR="00C60358" w:rsidRDefault="55B6B78E" w:rsidP="55B6B78E">
      <w:pPr>
        <w:pStyle w:val="ListParagraph"/>
        <w:numPr>
          <w:ilvl w:val="1"/>
          <w:numId w:val="4"/>
        </w:numPr>
        <w:jc w:val="both"/>
        <w:rPr>
          <w:rFonts w:asciiTheme="majorHAnsi" w:eastAsiaTheme="majorEastAsia" w:hAnsiTheme="majorHAnsi" w:cstheme="majorBidi"/>
          <w:lang w:val="es-ES"/>
        </w:rPr>
      </w:pPr>
      <w:r w:rsidRPr="55B6B78E">
        <w:rPr>
          <w:rFonts w:asciiTheme="majorHAnsi" w:eastAsiaTheme="majorEastAsia" w:hAnsiTheme="majorHAnsi" w:cstheme="majorBidi"/>
          <w:lang w:val="es-ES"/>
        </w:rPr>
        <w:t>Registro de Declaraciones de Intereses y Patrimonio.</w:t>
      </w:r>
    </w:p>
    <w:p w14:paraId="531CE63D" w14:textId="7E552AB8" w:rsidR="00C60358" w:rsidRDefault="55B6B78E" w:rsidP="55B6B78E">
      <w:pPr>
        <w:pStyle w:val="ListParagraph"/>
        <w:numPr>
          <w:ilvl w:val="1"/>
          <w:numId w:val="4"/>
        </w:numPr>
        <w:jc w:val="both"/>
        <w:rPr>
          <w:rFonts w:asciiTheme="majorHAnsi" w:eastAsiaTheme="majorEastAsia" w:hAnsiTheme="majorHAnsi" w:cstheme="majorBidi"/>
          <w:lang w:val="es-ES"/>
        </w:rPr>
      </w:pPr>
      <w:r w:rsidRPr="55B6B78E">
        <w:rPr>
          <w:rFonts w:asciiTheme="majorHAnsi" w:eastAsiaTheme="majorEastAsia" w:hAnsiTheme="majorHAnsi" w:cstheme="majorBidi"/>
          <w:lang w:val="es-ES"/>
        </w:rPr>
        <w:t>Registro de cabildeo o lobby.</w:t>
      </w:r>
    </w:p>
    <w:p w14:paraId="74CB9CD1" w14:textId="5882F84E" w:rsidR="00C60358" w:rsidRDefault="55B6B78E" w:rsidP="55B6B78E">
      <w:pPr>
        <w:pStyle w:val="ListParagraph"/>
        <w:numPr>
          <w:ilvl w:val="1"/>
          <w:numId w:val="4"/>
        </w:numPr>
        <w:jc w:val="both"/>
        <w:rPr>
          <w:rFonts w:asciiTheme="majorHAnsi" w:eastAsiaTheme="majorEastAsia" w:hAnsiTheme="majorHAnsi" w:cstheme="majorBidi"/>
          <w:lang w:val="es-ES"/>
        </w:rPr>
      </w:pPr>
      <w:r w:rsidRPr="55B6B78E">
        <w:rPr>
          <w:rFonts w:asciiTheme="majorHAnsi" w:eastAsiaTheme="majorEastAsia" w:hAnsiTheme="majorHAnsi" w:cstheme="majorBidi"/>
          <w:lang w:val="es-ES"/>
        </w:rPr>
        <w:t>Garantías para medios de comunicación.</w:t>
      </w:r>
    </w:p>
    <w:p w14:paraId="393EFEDE" w14:textId="2F0F38B2" w:rsidR="00C60358" w:rsidRDefault="55B6B78E" w:rsidP="55B6B78E">
      <w:pPr>
        <w:pStyle w:val="ListParagraph"/>
        <w:numPr>
          <w:ilvl w:val="0"/>
          <w:numId w:val="2"/>
        </w:numPr>
        <w:jc w:val="both"/>
        <w:rPr>
          <w:rFonts w:asciiTheme="majorHAnsi" w:eastAsiaTheme="majorEastAsia" w:hAnsiTheme="majorHAnsi" w:cstheme="majorBidi"/>
          <w:lang w:val="es-ES"/>
        </w:rPr>
      </w:pPr>
      <w:r w:rsidRPr="55B6B78E">
        <w:rPr>
          <w:rFonts w:asciiTheme="majorHAnsi" w:eastAsiaTheme="majorEastAsia" w:hAnsiTheme="majorHAnsi" w:cstheme="majorBidi"/>
          <w:lang w:val="es-ES"/>
        </w:rPr>
        <w:t>No es público el gasto de las bancadas o grupos de Diputados.</w:t>
      </w:r>
    </w:p>
    <w:p w14:paraId="621CA5B3" w14:textId="39829CBB" w:rsidR="00C60358" w:rsidRDefault="55B6B78E" w:rsidP="55B6B78E">
      <w:pPr>
        <w:pStyle w:val="ListParagraph"/>
        <w:numPr>
          <w:ilvl w:val="0"/>
          <w:numId w:val="2"/>
        </w:numPr>
        <w:jc w:val="both"/>
        <w:rPr>
          <w:rFonts w:asciiTheme="majorHAnsi" w:eastAsiaTheme="majorEastAsia" w:hAnsiTheme="majorHAnsi" w:cstheme="majorBidi"/>
          <w:lang w:val="es-ES"/>
        </w:rPr>
      </w:pPr>
      <w:r w:rsidRPr="55B6B78E">
        <w:rPr>
          <w:rFonts w:asciiTheme="majorHAnsi" w:eastAsiaTheme="majorEastAsia" w:hAnsiTheme="majorHAnsi" w:cstheme="majorBidi"/>
          <w:lang w:val="es-ES"/>
        </w:rPr>
        <w:lastRenderedPageBreak/>
        <w:t>Los Diputados no dan a conocer sus propuestas técnicas para el ejercicio presupuestario.</w:t>
      </w:r>
    </w:p>
    <w:p w14:paraId="6DD5BE80" w14:textId="0951FEC9" w:rsidR="00C60358" w:rsidRDefault="55B6B78E" w:rsidP="55B6B78E">
      <w:pPr>
        <w:pStyle w:val="ListParagraph"/>
        <w:numPr>
          <w:ilvl w:val="0"/>
          <w:numId w:val="2"/>
        </w:numPr>
        <w:jc w:val="both"/>
        <w:rPr>
          <w:rFonts w:asciiTheme="majorHAnsi" w:eastAsiaTheme="majorEastAsia" w:hAnsiTheme="majorHAnsi" w:cstheme="majorBidi"/>
          <w:lang w:val="es-ES"/>
        </w:rPr>
      </w:pPr>
      <w:r w:rsidRPr="55B6B78E">
        <w:rPr>
          <w:rFonts w:asciiTheme="majorHAnsi" w:eastAsiaTheme="majorEastAsia" w:hAnsiTheme="majorHAnsi" w:cstheme="majorBidi"/>
          <w:lang w:val="es-ES"/>
        </w:rPr>
        <w:t>No se realizan auditorías externas o internas en el Congreso.</w:t>
      </w:r>
    </w:p>
    <w:p w14:paraId="449B48CD" w14:textId="0E098262" w:rsidR="00C60358" w:rsidRDefault="55B6B78E" w:rsidP="55B6B78E">
      <w:pPr>
        <w:pStyle w:val="ListParagraph"/>
        <w:numPr>
          <w:ilvl w:val="0"/>
          <w:numId w:val="2"/>
        </w:numPr>
        <w:jc w:val="both"/>
        <w:rPr>
          <w:rFonts w:asciiTheme="majorHAnsi" w:eastAsiaTheme="majorEastAsia" w:hAnsiTheme="majorHAnsi" w:cstheme="majorBidi"/>
          <w:lang w:val="es-ES"/>
        </w:rPr>
      </w:pPr>
      <w:r w:rsidRPr="55B6B78E">
        <w:rPr>
          <w:rFonts w:asciiTheme="majorHAnsi" w:eastAsiaTheme="majorEastAsia" w:hAnsiTheme="majorHAnsi" w:cstheme="majorBidi"/>
          <w:lang w:val="es-ES"/>
        </w:rPr>
        <w:t>La Asamblea no informa en general sobre sus funciones de control político.</w:t>
      </w:r>
    </w:p>
    <w:p w14:paraId="0BDCEBD2" w14:textId="4FA925AC" w:rsidR="00C60358" w:rsidRDefault="55B6B78E" w:rsidP="55B6B78E">
      <w:pPr>
        <w:pStyle w:val="ListParagraph"/>
        <w:numPr>
          <w:ilvl w:val="0"/>
          <w:numId w:val="2"/>
        </w:numPr>
        <w:jc w:val="both"/>
        <w:rPr>
          <w:rFonts w:asciiTheme="majorHAnsi" w:eastAsiaTheme="majorEastAsia" w:hAnsiTheme="majorHAnsi" w:cstheme="majorBidi"/>
          <w:lang w:val="es-ES"/>
        </w:rPr>
      </w:pPr>
      <w:r w:rsidRPr="55B6B78E">
        <w:rPr>
          <w:rFonts w:asciiTheme="majorHAnsi" w:eastAsiaTheme="majorEastAsia" w:hAnsiTheme="majorHAnsi" w:cstheme="majorBidi"/>
          <w:lang w:val="es-ES"/>
        </w:rPr>
        <w:t>No se han puesto en práctica metodologías e instrumentos eficaces para fomentar la participación sistemática de la ciudadanía en los procesos de discusión de leyes.</w:t>
      </w:r>
    </w:p>
    <w:p w14:paraId="7259B68D" w14:textId="237C99ED" w:rsidR="00C60358" w:rsidRDefault="55B6B78E" w:rsidP="55B6B78E">
      <w:pPr>
        <w:pStyle w:val="ListParagraph"/>
        <w:numPr>
          <w:ilvl w:val="0"/>
          <w:numId w:val="2"/>
        </w:numPr>
        <w:jc w:val="both"/>
        <w:rPr>
          <w:rFonts w:asciiTheme="majorHAnsi" w:eastAsiaTheme="majorEastAsia" w:hAnsiTheme="majorHAnsi" w:cstheme="majorBidi"/>
          <w:lang w:val="es-ES"/>
        </w:rPr>
      </w:pPr>
      <w:r w:rsidRPr="55B6B78E">
        <w:rPr>
          <w:rFonts w:asciiTheme="majorHAnsi" w:eastAsiaTheme="majorEastAsia" w:hAnsiTheme="majorHAnsi" w:cstheme="majorBidi"/>
          <w:lang w:val="es-ES"/>
        </w:rPr>
        <w:t>No existen mecanismos de participación con enfoque de género o de grupos vulnerables.</w:t>
      </w:r>
    </w:p>
    <w:p w14:paraId="0204E4F3" w14:textId="348D2D42" w:rsidR="00C60358" w:rsidRDefault="55B6B78E" w:rsidP="55B6B78E">
      <w:pPr>
        <w:pStyle w:val="ListParagraph"/>
        <w:numPr>
          <w:ilvl w:val="0"/>
          <w:numId w:val="2"/>
        </w:numPr>
        <w:jc w:val="both"/>
        <w:rPr>
          <w:rFonts w:asciiTheme="majorHAnsi" w:eastAsiaTheme="majorEastAsia" w:hAnsiTheme="majorHAnsi" w:cstheme="majorBidi"/>
          <w:lang w:val="es-ES"/>
        </w:rPr>
      </w:pPr>
      <w:r w:rsidRPr="55B6B78E">
        <w:rPr>
          <w:rFonts w:asciiTheme="majorHAnsi" w:eastAsiaTheme="majorEastAsia" w:hAnsiTheme="majorHAnsi" w:cstheme="majorBidi"/>
          <w:lang w:val="es-ES"/>
        </w:rPr>
        <w:t>No existen planes formales en ejecución para adecuarse a los estándares de Parlamento Abierto.</w:t>
      </w:r>
    </w:p>
    <w:p w14:paraId="68E83AAE" w14:textId="16470823" w:rsidR="00C60358" w:rsidRDefault="55B6B78E" w:rsidP="55B6B78E">
      <w:pPr>
        <w:pStyle w:val="ListParagraph"/>
        <w:numPr>
          <w:ilvl w:val="0"/>
          <w:numId w:val="2"/>
        </w:numPr>
        <w:jc w:val="both"/>
        <w:rPr>
          <w:rFonts w:asciiTheme="majorHAnsi" w:eastAsiaTheme="majorEastAsia" w:hAnsiTheme="majorHAnsi" w:cstheme="majorBidi"/>
          <w:lang w:val="es-ES"/>
        </w:rPr>
      </w:pPr>
      <w:r w:rsidRPr="55B6B78E">
        <w:rPr>
          <w:rFonts w:asciiTheme="majorHAnsi" w:eastAsiaTheme="majorEastAsia" w:hAnsiTheme="majorHAnsi" w:cstheme="majorBidi"/>
          <w:lang w:val="es-ES"/>
        </w:rPr>
        <w:t>No existen normas sobre protección a denunciantes.</w:t>
      </w:r>
    </w:p>
    <w:p w14:paraId="3E800A63" w14:textId="0F38BC6F" w:rsidR="00C60358" w:rsidRDefault="55B6B78E" w:rsidP="55B6B78E">
      <w:pPr>
        <w:pStyle w:val="ListParagraph"/>
        <w:numPr>
          <w:ilvl w:val="0"/>
          <w:numId w:val="2"/>
        </w:numPr>
        <w:jc w:val="both"/>
        <w:rPr>
          <w:rFonts w:asciiTheme="majorHAnsi" w:eastAsiaTheme="majorEastAsia" w:hAnsiTheme="majorHAnsi" w:cstheme="majorBidi"/>
          <w:lang w:val="es-ES"/>
        </w:rPr>
      </w:pPr>
      <w:r w:rsidRPr="55B6B78E">
        <w:rPr>
          <w:rFonts w:asciiTheme="majorHAnsi" w:eastAsiaTheme="majorEastAsia" w:hAnsiTheme="majorHAnsi" w:cstheme="majorBidi"/>
          <w:lang w:val="es-ES"/>
        </w:rPr>
        <w:t>No existe regulación sobre registro de reuniones de Diputados.</w:t>
      </w:r>
    </w:p>
    <w:p w14:paraId="04C5AA9E" w14:textId="0AE5D273" w:rsidR="00C60358" w:rsidRDefault="55B6B78E" w:rsidP="55B6B78E">
      <w:pPr>
        <w:pStyle w:val="ListParagraph"/>
        <w:numPr>
          <w:ilvl w:val="0"/>
          <w:numId w:val="2"/>
        </w:numPr>
        <w:jc w:val="both"/>
        <w:rPr>
          <w:rFonts w:asciiTheme="majorHAnsi" w:eastAsiaTheme="majorEastAsia" w:hAnsiTheme="majorHAnsi" w:cstheme="majorBidi"/>
          <w:lang w:val="es-ES"/>
        </w:rPr>
      </w:pPr>
      <w:r w:rsidRPr="55B6B78E">
        <w:rPr>
          <w:rFonts w:asciiTheme="majorHAnsi" w:eastAsiaTheme="majorEastAsia" w:hAnsiTheme="majorHAnsi" w:cstheme="majorBidi"/>
          <w:lang w:val="es-ES"/>
        </w:rPr>
        <w:t>No existe regulación sobre registro de obsequios a Diputados.</w:t>
      </w:r>
    </w:p>
    <w:p w14:paraId="38F907DE" w14:textId="20C0A7B9" w:rsidR="00C60358" w:rsidRDefault="55B6B78E" w:rsidP="55B6B78E">
      <w:pPr>
        <w:pStyle w:val="ListParagraph"/>
        <w:numPr>
          <w:ilvl w:val="0"/>
          <w:numId w:val="2"/>
        </w:numPr>
        <w:jc w:val="both"/>
        <w:rPr>
          <w:rFonts w:asciiTheme="majorHAnsi" w:eastAsiaTheme="majorEastAsia" w:hAnsiTheme="majorHAnsi" w:cstheme="majorBidi"/>
          <w:lang w:val="es-ES"/>
        </w:rPr>
      </w:pPr>
      <w:r w:rsidRPr="55B6B78E">
        <w:rPr>
          <w:rFonts w:asciiTheme="majorHAnsi" w:eastAsiaTheme="majorEastAsia" w:hAnsiTheme="majorHAnsi" w:cstheme="majorBidi"/>
          <w:lang w:val="es-ES"/>
        </w:rPr>
        <w:t xml:space="preserve">No existe regulación específica sobre llamado a concurso del personal de la Asamblea. </w:t>
      </w:r>
    </w:p>
    <w:p w14:paraId="636539ED" w14:textId="630341C1" w:rsidR="00C60358" w:rsidRDefault="55B6B78E" w:rsidP="55B6B78E">
      <w:pPr>
        <w:pStyle w:val="ListParagraph"/>
        <w:numPr>
          <w:ilvl w:val="0"/>
          <w:numId w:val="2"/>
        </w:numPr>
        <w:jc w:val="both"/>
        <w:rPr>
          <w:rFonts w:asciiTheme="majorHAnsi" w:eastAsiaTheme="majorEastAsia" w:hAnsiTheme="majorHAnsi" w:cstheme="majorBidi"/>
          <w:lang w:val="es-ES"/>
        </w:rPr>
      </w:pPr>
      <w:r w:rsidRPr="55B6B78E">
        <w:rPr>
          <w:rFonts w:asciiTheme="majorHAnsi" w:eastAsiaTheme="majorEastAsia" w:hAnsiTheme="majorHAnsi" w:cstheme="majorBidi"/>
          <w:lang w:val="es-ES"/>
        </w:rPr>
        <w:t>No hay mecanismos o herramientas electrónicas para realizar solicitudes de información pública y seguimiento</w:t>
      </w:r>
    </w:p>
    <w:p w14:paraId="57931944" w14:textId="4ABCD62C" w:rsidR="00C60358" w:rsidRDefault="00C60358" w:rsidP="55B6B78E">
      <w:pPr>
        <w:jc w:val="both"/>
        <w:rPr>
          <w:rFonts w:asciiTheme="majorHAnsi" w:eastAsiaTheme="majorEastAsia" w:hAnsiTheme="majorHAnsi" w:cstheme="majorBidi"/>
          <w:lang w:val="es-ES"/>
        </w:rPr>
      </w:pPr>
    </w:p>
    <w:p w14:paraId="5817448A" w14:textId="54A66FE1" w:rsidR="00C60358" w:rsidRDefault="55B6B78E" w:rsidP="55B6B78E">
      <w:pPr>
        <w:jc w:val="both"/>
        <w:rPr>
          <w:rFonts w:asciiTheme="majorHAnsi" w:eastAsiaTheme="majorEastAsia" w:hAnsiTheme="majorHAnsi" w:cstheme="majorBidi"/>
          <w:lang w:val="es-ES"/>
        </w:rPr>
      </w:pPr>
      <w:r w:rsidRPr="55B6B78E">
        <w:rPr>
          <w:rFonts w:asciiTheme="majorHAnsi" w:eastAsiaTheme="majorEastAsia" w:hAnsiTheme="majorHAnsi" w:cstheme="majorBidi"/>
          <w:lang w:val="es-ES"/>
        </w:rPr>
        <w:t xml:space="preserve">Las mejoras que la Asamblea necesita en su gestión, están concentradas en gran medida en el Reglamento Orgánico del Régimen Interno de la Asamblea Nacional, mejor conocido como “RORI”. Desde la ciudadanía hacemos un llamado a todas las bancadas políticas representadas en este órgano para articulen la voluntad política necesaria para lograr la modificación de este reglamento hacia la transparencia de acuerdo a la hoja de ruta contenida en el reporte del ILTL2020+   </w:t>
      </w:r>
    </w:p>
    <w:p w14:paraId="08663D98" w14:textId="7C9B68A9" w:rsidR="00C60358" w:rsidRDefault="00C60358" w:rsidP="55B6B78E">
      <w:pPr>
        <w:jc w:val="both"/>
        <w:rPr>
          <w:rFonts w:asciiTheme="majorHAnsi" w:eastAsiaTheme="majorEastAsia" w:hAnsiTheme="majorHAnsi" w:cstheme="majorBidi"/>
          <w:lang w:val="es-ES"/>
        </w:rPr>
      </w:pPr>
    </w:p>
    <w:p w14:paraId="0C95A0FD" w14:textId="259B0182" w:rsidR="00C60358" w:rsidRDefault="55B6B78E" w:rsidP="55B6B78E">
      <w:pPr>
        <w:jc w:val="both"/>
        <w:rPr>
          <w:rFonts w:asciiTheme="majorHAnsi" w:eastAsiaTheme="majorEastAsia" w:hAnsiTheme="majorHAnsi" w:cstheme="majorBidi"/>
          <w:b/>
          <w:bCs/>
          <w:lang w:val="es-ES"/>
        </w:rPr>
      </w:pPr>
      <w:r w:rsidRPr="55B6B78E">
        <w:rPr>
          <w:rFonts w:asciiTheme="majorHAnsi" w:eastAsiaTheme="majorEastAsia" w:hAnsiTheme="majorHAnsi" w:cstheme="majorBidi"/>
          <w:b/>
          <w:bCs/>
          <w:lang w:val="es-ES"/>
        </w:rPr>
        <w:t>Respuesta a COVID2019</w:t>
      </w:r>
    </w:p>
    <w:p w14:paraId="60C06E1B" w14:textId="4211CF07" w:rsidR="00C60358" w:rsidRDefault="00C60358" w:rsidP="55B6B78E">
      <w:pPr>
        <w:jc w:val="both"/>
        <w:rPr>
          <w:rFonts w:asciiTheme="majorHAnsi" w:eastAsiaTheme="majorEastAsia" w:hAnsiTheme="majorHAnsi" w:cstheme="majorBidi"/>
          <w:lang w:val="es-ES"/>
        </w:rPr>
      </w:pPr>
    </w:p>
    <w:p w14:paraId="395DB547" w14:textId="0898D518" w:rsidR="00C60358" w:rsidRDefault="55B6B78E" w:rsidP="55B6B78E">
      <w:pPr>
        <w:jc w:val="both"/>
        <w:rPr>
          <w:rFonts w:asciiTheme="majorHAnsi" w:eastAsiaTheme="majorEastAsia" w:hAnsiTheme="majorHAnsi" w:cstheme="majorBidi"/>
          <w:color w:val="000000" w:themeColor="text1"/>
          <w:highlight w:val="yellow"/>
          <w:lang w:val="es-ES"/>
        </w:rPr>
      </w:pPr>
      <w:r w:rsidRPr="55B6B78E">
        <w:rPr>
          <w:rFonts w:asciiTheme="majorHAnsi" w:eastAsiaTheme="majorEastAsia" w:hAnsiTheme="majorHAnsi" w:cstheme="majorBidi"/>
          <w:b/>
          <w:bCs/>
          <w:color w:val="000000" w:themeColor="text1"/>
          <w:lang w:val="es-ES"/>
        </w:rPr>
        <w:t>ILTL2021</w:t>
      </w:r>
      <w:r w:rsidRPr="55B6B78E">
        <w:rPr>
          <w:rFonts w:asciiTheme="majorHAnsi" w:eastAsiaTheme="majorEastAsia" w:hAnsiTheme="majorHAnsi" w:cstheme="majorBidi"/>
          <w:color w:val="000000" w:themeColor="text1"/>
          <w:lang w:val="es-ES"/>
        </w:rPr>
        <w:t>, también presenta una evaluación sobre las reformas legislativas que se han realizado en el contexto de la crisis sanitaria vivida a raíz de la pandemia de la COVID-19.</w:t>
      </w:r>
    </w:p>
    <w:p w14:paraId="50289A42" w14:textId="6A610921" w:rsidR="00C60358" w:rsidRDefault="00C60358" w:rsidP="55B6B78E">
      <w:pPr>
        <w:jc w:val="both"/>
        <w:rPr>
          <w:rFonts w:asciiTheme="majorHAnsi" w:eastAsiaTheme="majorEastAsia" w:hAnsiTheme="majorHAnsi" w:cstheme="majorBidi"/>
          <w:color w:val="000000" w:themeColor="text1"/>
          <w:lang w:val="es-ES"/>
        </w:rPr>
      </w:pPr>
    </w:p>
    <w:p w14:paraId="5301E5CA" w14:textId="34F0E08C" w:rsidR="00C60358" w:rsidRDefault="55B6B78E" w:rsidP="55B6B78E">
      <w:pPr>
        <w:jc w:val="both"/>
        <w:rPr>
          <w:rFonts w:asciiTheme="majorHAnsi" w:eastAsiaTheme="majorEastAsia" w:hAnsiTheme="majorHAnsi" w:cstheme="majorBidi"/>
          <w:color w:val="000000" w:themeColor="text1"/>
          <w:highlight w:val="yellow"/>
          <w:lang w:val="es-ES"/>
        </w:rPr>
      </w:pPr>
      <w:r w:rsidRPr="55B6B78E">
        <w:rPr>
          <w:rFonts w:asciiTheme="majorHAnsi" w:eastAsiaTheme="majorEastAsia" w:hAnsiTheme="majorHAnsi" w:cstheme="majorBidi"/>
          <w:color w:val="000000" w:themeColor="text1"/>
          <w:lang w:val="es-ES"/>
        </w:rPr>
        <w:t xml:space="preserve">En Panamá se observaron pocos intentos de políticas públicas para enfrentar la crisis sanitaria, económica y social. Desde no ejercer el rol constitucional frente al estado de emergencia desde la Asamblea Nacional, hasta el alto incremento de la deuda pública, demostrando bajo control de las contrataciones y gastos de emergencia, incremento exorbitante de la planilla por parte de la Asamblea Nacional (proponen un 40% más que el presupuesto de 2019 en el nuevo Presupuesto Nacional que debe ser aprobado al 31 de septiembre 2021), y constantes escándalos de los Diputados quebrantando las normas de contención de la pandemia, incluyendo vacunaciones VIP injustificadas y de claro cariz de privilegio político. </w:t>
      </w:r>
    </w:p>
    <w:p w14:paraId="25EC167C" w14:textId="182F9D94" w:rsidR="55B6B78E" w:rsidRDefault="55B6B78E" w:rsidP="55B6B78E">
      <w:pPr>
        <w:jc w:val="both"/>
        <w:rPr>
          <w:rFonts w:asciiTheme="majorHAnsi" w:eastAsiaTheme="majorEastAsia" w:hAnsiTheme="majorHAnsi" w:cstheme="majorBidi"/>
          <w:lang w:val="es-ES"/>
        </w:rPr>
      </w:pPr>
    </w:p>
    <w:p w14:paraId="02B10A95" w14:textId="4529D30F" w:rsidR="55B6B78E" w:rsidRDefault="55B6B78E" w:rsidP="55B6B78E">
      <w:pPr>
        <w:spacing w:line="259" w:lineRule="auto"/>
        <w:jc w:val="both"/>
        <w:rPr>
          <w:rFonts w:asciiTheme="majorHAnsi" w:eastAsiaTheme="majorEastAsia" w:hAnsiTheme="majorHAnsi" w:cstheme="majorBidi"/>
          <w:b/>
          <w:bCs/>
          <w:lang w:val="es-ES"/>
        </w:rPr>
      </w:pPr>
      <w:r w:rsidRPr="55B6B78E">
        <w:rPr>
          <w:rFonts w:asciiTheme="majorHAnsi" w:eastAsiaTheme="majorEastAsia" w:hAnsiTheme="majorHAnsi" w:cstheme="majorBidi"/>
          <w:b/>
          <w:bCs/>
          <w:lang w:val="es-ES"/>
        </w:rPr>
        <w:t xml:space="preserve">Llamado ciudadano: </w:t>
      </w:r>
    </w:p>
    <w:p w14:paraId="549EBE9E" w14:textId="0F71033B" w:rsidR="55B6B78E" w:rsidRDefault="55B6B78E" w:rsidP="55B6B78E">
      <w:pPr>
        <w:jc w:val="both"/>
        <w:rPr>
          <w:rFonts w:asciiTheme="majorHAnsi" w:eastAsiaTheme="majorEastAsia" w:hAnsiTheme="majorHAnsi" w:cstheme="majorBidi"/>
          <w:color w:val="000000" w:themeColor="text1"/>
          <w:lang w:val="es-ES"/>
        </w:rPr>
      </w:pPr>
    </w:p>
    <w:p w14:paraId="19DB3873" w14:textId="563810E5" w:rsidR="55B6B78E" w:rsidRDefault="55B6B78E" w:rsidP="55B6B78E">
      <w:pPr>
        <w:jc w:val="both"/>
        <w:rPr>
          <w:rFonts w:asciiTheme="majorHAnsi" w:eastAsiaTheme="majorEastAsia" w:hAnsiTheme="majorHAnsi" w:cstheme="majorBidi"/>
          <w:lang w:val="es-ES"/>
        </w:rPr>
      </w:pPr>
      <w:r w:rsidRPr="55B6B78E">
        <w:rPr>
          <w:rFonts w:asciiTheme="majorHAnsi" w:eastAsiaTheme="majorEastAsia" w:hAnsiTheme="majorHAnsi" w:cstheme="majorBidi"/>
          <w:lang w:val="es-ES"/>
        </w:rPr>
        <w:t xml:space="preserve">Resulta verdaderamente alarmante el bajo nivel de estructuras formales que garanticen la transparencia de la Asamblea Nacional de Panamá. Hacemos un llamado ciudadano a: </w:t>
      </w:r>
    </w:p>
    <w:p w14:paraId="106B0C8A" w14:textId="1BA19B7D" w:rsidR="55B6B78E" w:rsidRDefault="55B6B78E" w:rsidP="55B6B78E">
      <w:pPr>
        <w:jc w:val="both"/>
        <w:rPr>
          <w:rFonts w:asciiTheme="majorHAnsi" w:eastAsiaTheme="majorEastAsia" w:hAnsiTheme="majorHAnsi" w:cstheme="majorBidi"/>
          <w:lang w:val="es-ES"/>
        </w:rPr>
      </w:pPr>
    </w:p>
    <w:p w14:paraId="378472BE" w14:textId="267026D9" w:rsidR="55B6B78E" w:rsidRDefault="55B6B78E" w:rsidP="55B6B78E">
      <w:pPr>
        <w:jc w:val="both"/>
        <w:rPr>
          <w:rFonts w:asciiTheme="majorHAnsi" w:eastAsiaTheme="majorEastAsia" w:hAnsiTheme="majorHAnsi" w:cstheme="majorBidi"/>
          <w:lang w:val="es-ES"/>
        </w:rPr>
      </w:pPr>
      <w:r w:rsidRPr="55B6B78E">
        <w:rPr>
          <w:rFonts w:asciiTheme="majorHAnsi" w:eastAsiaTheme="majorEastAsia" w:hAnsiTheme="majorHAnsi" w:cstheme="majorBidi"/>
          <w:lang w:val="es-ES"/>
        </w:rPr>
        <w:t xml:space="preserve">-La Asamblea Nacional </w:t>
      </w:r>
    </w:p>
    <w:p w14:paraId="2A30DF0F" w14:textId="25E5308C" w:rsidR="55B6B78E" w:rsidRDefault="55B6B78E" w:rsidP="55B6B78E">
      <w:pPr>
        <w:jc w:val="both"/>
        <w:rPr>
          <w:rFonts w:asciiTheme="majorHAnsi" w:eastAsiaTheme="majorEastAsia" w:hAnsiTheme="majorHAnsi" w:cstheme="majorBidi"/>
          <w:lang w:val="es-ES"/>
        </w:rPr>
      </w:pPr>
      <w:r w:rsidRPr="55B6B78E">
        <w:rPr>
          <w:rFonts w:asciiTheme="majorHAnsi" w:eastAsiaTheme="majorEastAsia" w:hAnsiTheme="majorHAnsi" w:cstheme="majorBidi"/>
          <w:lang w:val="es-ES"/>
        </w:rPr>
        <w:t>-A la Autoridad de Transparencia y Acceso a la Información (ANTAI),</w:t>
      </w:r>
    </w:p>
    <w:p w14:paraId="5EF4DE55" w14:textId="1431E658" w:rsidR="55B6B78E" w:rsidRDefault="55B6B78E" w:rsidP="55B6B78E">
      <w:pPr>
        <w:jc w:val="both"/>
        <w:rPr>
          <w:rFonts w:asciiTheme="majorHAnsi" w:eastAsiaTheme="majorEastAsia" w:hAnsiTheme="majorHAnsi" w:cstheme="majorBidi"/>
          <w:lang w:val="es-ES"/>
        </w:rPr>
      </w:pPr>
      <w:r w:rsidRPr="55B6B78E">
        <w:rPr>
          <w:rFonts w:asciiTheme="majorHAnsi" w:eastAsiaTheme="majorEastAsia" w:hAnsiTheme="majorHAnsi" w:cstheme="majorBidi"/>
          <w:lang w:val="es-ES"/>
        </w:rPr>
        <w:t xml:space="preserve">-A la Contraloría General de la República  </w:t>
      </w:r>
    </w:p>
    <w:p w14:paraId="32A36D0E" w14:textId="67C4D7D7" w:rsidR="55B6B78E" w:rsidRDefault="55B6B78E" w:rsidP="55B6B78E">
      <w:pPr>
        <w:jc w:val="both"/>
        <w:rPr>
          <w:rFonts w:asciiTheme="majorHAnsi" w:eastAsiaTheme="majorEastAsia" w:hAnsiTheme="majorHAnsi" w:cstheme="majorBidi"/>
          <w:lang w:val="es-ES"/>
        </w:rPr>
      </w:pPr>
    </w:p>
    <w:p w14:paraId="1B8A9FD3" w14:textId="55A5E937" w:rsidR="55B6B78E" w:rsidRDefault="55B6B78E" w:rsidP="55B6B78E">
      <w:pPr>
        <w:jc w:val="both"/>
        <w:rPr>
          <w:rFonts w:asciiTheme="majorHAnsi" w:eastAsiaTheme="majorEastAsia" w:hAnsiTheme="majorHAnsi" w:cstheme="majorBidi"/>
          <w:lang w:val="es-ES"/>
        </w:rPr>
      </w:pPr>
      <w:r w:rsidRPr="55B6B78E">
        <w:rPr>
          <w:rFonts w:asciiTheme="majorHAnsi" w:eastAsiaTheme="majorEastAsia" w:hAnsiTheme="majorHAnsi" w:cstheme="majorBidi"/>
          <w:lang w:val="es-ES"/>
        </w:rPr>
        <w:lastRenderedPageBreak/>
        <w:t xml:space="preserve">A llevar a cabo acciones puntuales y directas para elevar los pobres estándares de </w:t>
      </w:r>
      <w:proofErr w:type="spellStart"/>
      <w:r w:rsidRPr="55B6B78E">
        <w:rPr>
          <w:rFonts w:asciiTheme="majorHAnsi" w:eastAsiaTheme="majorEastAsia" w:hAnsiTheme="majorHAnsi" w:cstheme="majorBidi"/>
          <w:lang w:val="es-ES"/>
        </w:rPr>
        <w:t>gobernancia</w:t>
      </w:r>
      <w:proofErr w:type="spellEnd"/>
      <w:r w:rsidRPr="55B6B78E">
        <w:rPr>
          <w:rFonts w:asciiTheme="majorHAnsi" w:eastAsiaTheme="majorEastAsia" w:hAnsiTheme="majorHAnsi" w:cstheme="majorBidi"/>
          <w:lang w:val="es-ES"/>
        </w:rPr>
        <w:t xml:space="preserve"> y transparencia que tenemos en la actualidad.</w:t>
      </w:r>
    </w:p>
    <w:p w14:paraId="0B9C5834" w14:textId="1F643000" w:rsidR="55B6B78E" w:rsidRDefault="55B6B78E" w:rsidP="55B6B78E">
      <w:pPr>
        <w:jc w:val="both"/>
        <w:rPr>
          <w:rFonts w:asciiTheme="majorHAnsi" w:eastAsiaTheme="majorEastAsia" w:hAnsiTheme="majorHAnsi" w:cstheme="majorBidi"/>
          <w:lang w:val="es-ES"/>
        </w:rPr>
      </w:pPr>
    </w:p>
    <w:p w14:paraId="1ECB8A37" w14:textId="0EE0CADC" w:rsidR="55B6B78E" w:rsidRDefault="55B6B78E" w:rsidP="55B6B78E">
      <w:pPr>
        <w:jc w:val="both"/>
        <w:rPr>
          <w:rFonts w:asciiTheme="majorHAnsi" w:eastAsiaTheme="majorEastAsia" w:hAnsiTheme="majorHAnsi" w:cstheme="majorBidi"/>
          <w:lang w:val="es-ES"/>
        </w:rPr>
      </w:pPr>
      <w:r w:rsidRPr="55B6B78E">
        <w:rPr>
          <w:rFonts w:asciiTheme="majorHAnsi" w:eastAsiaTheme="majorEastAsia" w:hAnsiTheme="majorHAnsi" w:cstheme="majorBidi"/>
          <w:lang w:val="es-ES"/>
        </w:rPr>
        <w:t xml:space="preserve">Igualmente hacemos un llamado enérgico a todos los ciudadanos y organizaciones creyentes en la democracia y en la transparencia a alzar su voz y contactar a su Diputado(a) y exigirle leyes en pro de una gestión más transparente con la frase: </w:t>
      </w:r>
    </w:p>
    <w:p w14:paraId="1727C284" w14:textId="5B4A2C17" w:rsidR="55B6B78E" w:rsidRDefault="55B6B78E" w:rsidP="55B6B78E">
      <w:pPr>
        <w:jc w:val="both"/>
        <w:rPr>
          <w:rFonts w:asciiTheme="majorHAnsi" w:eastAsiaTheme="majorEastAsia" w:hAnsiTheme="majorHAnsi" w:cstheme="majorBidi"/>
          <w:lang w:val="es-ES"/>
        </w:rPr>
      </w:pPr>
    </w:p>
    <w:p w14:paraId="4C8D0C35" w14:textId="40F483AF" w:rsidR="55B6B78E" w:rsidRDefault="55B6B78E" w:rsidP="55B6B78E">
      <w:pPr>
        <w:jc w:val="center"/>
        <w:rPr>
          <w:rFonts w:asciiTheme="majorHAnsi" w:eastAsiaTheme="majorEastAsia" w:hAnsiTheme="majorHAnsi" w:cstheme="majorBidi"/>
          <w:lang w:val="es-ES"/>
        </w:rPr>
      </w:pPr>
      <w:r w:rsidRPr="55B6B78E">
        <w:rPr>
          <w:rFonts w:asciiTheme="majorHAnsi" w:eastAsiaTheme="majorEastAsia" w:hAnsiTheme="majorHAnsi" w:cstheme="majorBidi"/>
          <w:lang w:val="es-ES"/>
        </w:rPr>
        <w:t>“Yo quiero una #</w:t>
      </w:r>
      <w:proofErr w:type="spellStart"/>
      <w:r w:rsidRPr="55B6B78E">
        <w:rPr>
          <w:rFonts w:asciiTheme="majorHAnsi" w:eastAsiaTheme="majorEastAsia" w:hAnsiTheme="majorHAnsi" w:cstheme="majorBidi"/>
          <w:lang w:val="es-ES"/>
        </w:rPr>
        <w:t>AsambleaTransparente</w:t>
      </w:r>
      <w:proofErr w:type="spellEnd"/>
      <w:r w:rsidRPr="55B6B78E">
        <w:rPr>
          <w:rFonts w:asciiTheme="majorHAnsi" w:eastAsiaTheme="majorEastAsia" w:hAnsiTheme="majorHAnsi" w:cstheme="majorBidi"/>
          <w:lang w:val="es-ES"/>
        </w:rPr>
        <w:t xml:space="preserve">” </w:t>
      </w:r>
    </w:p>
    <w:p w14:paraId="7493D654" w14:textId="4939D07E" w:rsidR="55B6B78E" w:rsidRDefault="55B6B78E" w:rsidP="55B6B78E">
      <w:pPr>
        <w:jc w:val="both"/>
        <w:rPr>
          <w:rFonts w:asciiTheme="majorHAnsi" w:eastAsiaTheme="majorEastAsia" w:hAnsiTheme="majorHAnsi" w:cstheme="majorBidi"/>
          <w:lang w:val="es-ES"/>
        </w:rPr>
      </w:pPr>
    </w:p>
    <w:p w14:paraId="18AB23E6" w14:textId="3003AFFB" w:rsidR="55B6B78E" w:rsidRDefault="55B6B78E" w:rsidP="55B6B78E">
      <w:pPr>
        <w:jc w:val="both"/>
        <w:rPr>
          <w:rFonts w:asciiTheme="majorHAnsi" w:eastAsiaTheme="majorEastAsia" w:hAnsiTheme="majorHAnsi" w:cstheme="majorBidi"/>
          <w:b/>
          <w:bCs/>
          <w:lang w:val="es-ES"/>
        </w:rPr>
      </w:pPr>
      <w:r w:rsidRPr="55B6B78E">
        <w:rPr>
          <w:rFonts w:asciiTheme="majorHAnsi" w:eastAsiaTheme="majorEastAsia" w:hAnsiTheme="majorHAnsi" w:cstheme="majorBidi"/>
          <w:b/>
          <w:bCs/>
          <w:lang w:val="es-ES"/>
        </w:rPr>
        <w:t xml:space="preserve">Fuentes para más información: </w:t>
      </w:r>
    </w:p>
    <w:p w14:paraId="24094B59" w14:textId="00E96D8D" w:rsidR="55B6B78E" w:rsidRDefault="55B6B78E" w:rsidP="55B6B78E">
      <w:pPr>
        <w:jc w:val="both"/>
        <w:rPr>
          <w:rFonts w:asciiTheme="majorHAnsi" w:eastAsiaTheme="majorEastAsia" w:hAnsiTheme="majorHAnsi" w:cstheme="majorBidi"/>
          <w:lang w:val="es-ES"/>
        </w:rPr>
      </w:pPr>
    </w:p>
    <w:p w14:paraId="6BC2B5F0" w14:textId="5DD90E0E" w:rsidR="55B6B78E" w:rsidRPr="009A7855" w:rsidRDefault="55B6B78E" w:rsidP="55B6B78E">
      <w:pPr>
        <w:jc w:val="both"/>
        <w:rPr>
          <w:rFonts w:asciiTheme="majorHAnsi" w:eastAsiaTheme="majorEastAsia" w:hAnsiTheme="majorHAnsi" w:cstheme="majorBidi"/>
          <w:lang w:val="es-ES"/>
        </w:rPr>
      </w:pPr>
      <w:r w:rsidRPr="55B6B78E">
        <w:rPr>
          <w:rFonts w:asciiTheme="majorHAnsi" w:eastAsiaTheme="majorEastAsia" w:hAnsiTheme="majorHAnsi" w:cstheme="majorBidi"/>
          <w:lang w:val="es-ES"/>
        </w:rPr>
        <w:t xml:space="preserve">EL ILTL2020+: </w:t>
      </w:r>
      <w:hyperlink r:id="rId5">
        <w:r w:rsidRPr="55B6B78E">
          <w:rPr>
            <w:rStyle w:val="Hyperlink"/>
            <w:rFonts w:asciiTheme="majorHAnsi" w:eastAsiaTheme="majorEastAsia" w:hAnsiTheme="majorHAnsi" w:cstheme="majorBidi"/>
            <w:lang w:val="es-ES"/>
          </w:rPr>
          <w:t>https://www.transparencialegislativa.org/indice-2020/</w:t>
        </w:r>
      </w:hyperlink>
    </w:p>
    <w:p w14:paraId="3A7A3F35" w14:textId="78A543C8" w:rsidR="55B6B78E" w:rsidRDefault="55B6B78E" w:rsidP="55B6B78E">
      <w:pPr>
        <w:jc w:val="both"/>
        <w:rPr>
          <w:rFonts w:asciiTheme="majorHAnsi" w:eastAsiaTheme="majorEastAsia" w:hAnsiTheme="majorHAnsi" w:cstheme="majorBidi"/>
          <w:lang w:val="es-ES"/>
        </w:rPr>
      </w:pPr>
    </w:p>
    <w:p w14:paraId="570206DF" w14:textId="0AAF9D75" w:rsidR="00543098" w:rsidRDefault="55B6B78E" w:rsidP="55B6B78E">
      <w:pPr>
        <w:rPr>
          <w:rFonts w:asciiTheme="majorHAnsi" w:eastAsiaTheme="majorEastAsia" w:hAnsiTheme="majorHAnsi" w:cstheme="majorBidi"/>
          <w:lang w:val="es-ES"/>
        </w:rPr>
      </w:pPr>
      <w:r w:rsidRPr="55B6B78E">
        <w:rPr>
          <w:rFonts w:asciiTheme="majorHAnsi" w:eastAsiaTheme="majorEastAsia" w:hAnsiTheme="majorHAnsi" w:cstheme="majorBidi"/>
          <w:lang w:val="es-ES"/>
        </w:rPr>
        <w:t>La RED LATINOAMERICANA DE TRANSPARENCIA LATINOAMERICANA</w:t>
      </w:r>
    </w:p>
    <w:p w14:paraId="0E38370C" w14:textId="1A0A1575" w:rsidR="00543098" w:rsidRDefault="00543098" w:rsidP="55B6B78E">
      <w:pPr>
        <w:rPr>
          <w:rFonts w:asciiTheme="majorHAnsi" w:eastAsiaTheme="majorEastAsia" w:hAnsiTheme="majorHAnsi" w:cstheme="majorBidi"/>
          <w:lang w:val="es-ES"/>
        </w:rPr>
      </w:pPr>
      <w:hyperlink r:id="rId6" w:history="1">
        <w:r w:rsidRPr="0042046A">
          <w:rPr>
            <w:rStyle w:val="Hyperlink"/>
            <w:rFonts w:asciiTheme="majorHAnsi" w:eastAsiaTheme="majorEastAsia" w:hAnsiTheme="majorHAnsi" w:cstheme="majorBidi"/>
            <w:lang w:val="es-ES"/>
          </w:rPr>
          <w:t>https://www.transparencialegislativa.org</w:t>
        </w:r>
      </w:hyperlink>
    </w:p>
    <w:p w14:paraId="12FEFDE3" w14:textId="44B69F07" w:rsidR="55B6B78E" w:rsidRDefault="55B6B78E" w:rsidP="55B6B78E">
      <w:pPr>
        <w:jc w:val="both"/>
        <w:rPr>
          <w:rFonts w:asciiTheme="majorHAnsi" w:eastAsiaTheme="majorEastAsia" w:hAnsiTheme="majorHAnsi" w:cstheme="majorBidi"/>
          <w:lang w:val="es-ES"/>
        </w:rPr>
      </w:pPr>
      <w:bookmarkStart w:id="0" w:name="_GoBack"/>
      <w:bookmarkEnd w:id="0"/>
    </w:p>
    <w:p w14:paraId="3E2BB507" w14:textId="6AF55745" w:rsidR="55B6B78E" w:rsidRDefault="55B6B78E" w:rsidP="55B6B78E">
      <w:pPr>
        <w:jc w:val="both"/>
        <w:rPr>
          <w:rFonts w:asciiTheme="majorHAnsi" w:eastAsiaTheme="majorEastAsia" w:hAnsiTheme="majorHAnsi" w:cstheme="majorBidi"/>
          <w:lang w:val="es-ES"/>
        </w:rPr>
      </w:pPr>
      <w:r w:rsidRPr="55B6B78E">
        <w:rPr>
          <w:rFonts w:asciiTheme="majorHAnsi" w:eastAsiaTheme="majorEastAsia" w:hAnsiTheme="majorHAnsi" w:cstheme="majorBidi"/>
          <w:lang w:val="es-ES"/>
        </w:rPr>
        <w:t>RESULTADOS DEL INDICE PANAMA:</w:t>
      </w:r>
    </w:p>
    <w:p w14:paraId="1773EC5D" w14:textId="7E746601" w:rsidR="55B6B78E" w:rsidRDefault="00642C91" w:rsidP="55B6B78E">
      <w:pPr>
        <w:jc w:val="both"/>
        <w:rPr>
          <w:rFonts w:asciiTheme="majorHAnsi" w:eastAsiaTheme="majorEastAsia" w:hAnsiTheme="majorHAnsi" w:cstheme="majorBidi"/>
          <w:lang w:val="es-ES"/>
        </w:rPr>
      </w:pPr>
      <w:hyperlink r:id="rId7">
        <w:r w:rsidR="55B6B78E" w:rsidRPr="55B6B78E">
          <w:rPr>
            <w:rStyle w:val="Hyperlink"/>
            <w:rFonts w:asciiTheme="majorHAnsi" w:eastAsiaTheme="majorEastAsia" w:hAnsiTheme="majorHAnsi" w:cstheme="majorBidi"/>
            <w:lang w:val="es-ES"/>
          </w:rPr>
          <w:t>https://www.libertadciudadana.org/proyecto/indice-de-transparencia-legislativa/</w:t>
        </w:r>
      </w:hyperlink>
    </w:p>
    <w:p w14:paraId="069C816D" w14:textId="566A5A8A" w:rsidR="55B6B78E" w:rsidRDefault="55B6B78E" w:rsidP="55B6B78E">
      <w:pPr>
        <w:jc w:val="both"/>
        <w:rPr>
          <w:rFonts w:asciiTheme="majorHAnsi" w:eastAsiaTheme="majorEastAsia" w:hAnsiTheme="majorHAnsi" w:cstheme="majorBidi"/>
          <w:lang w:val="es-ES"/>
        </w:rPr>
      </w:pPr>
    </w:p>
    <w:p w14:paraId="1ECF771F" w14:textId="7D356917" w:rsidR="55B6B78E" w:rsidRDefault="55B6B78E" w:rsidP="55B6B78E">
      <w:pPr>
        <w:jc w:val="both"/>
        <w:rPr>
          <w:rFonts w:asciiTheme="majorHAnsi" w:eastAsiaTheme="majorEastAsia" w:hAnsiTheme="majorHAnsi" w:cstheme="majorBidi"/>
          <w:lang w:val="es-ES"/>
        </w:rPr>
      </w:pPr>
      <w:r w:rsidRPr="55B6B78E">
        <w:rPr>
          <w:rFonts w:asciiTheme="majorHAnsi" w:eastAsiaTheme="majorEastAsia" w:hAnsiTheme="majorHAnsi" w:cstheme="majorBidi"/>
          <w:lang w:val="es-ES"/>
        </w:rPr>
        <w:t xml:space="preserve">Información /entrevistas:  </w:t>
      </w:r>
      <w:hyperlink r:id="rId8">
        <w:r w:rsidRPr="55B6B78E">
          <w:rPr>
            <w:rStyle w:val="Hyperlink"/>
            <w:rFonts w:asciiTheme="majorHAnsi" w:eastAsiaTheme="majorEastAsia" w:hAnsiTheme="majorHAnsi" w:cstheme="majorBidi"/>
            <w:lang w:val="es-ES"/>
          </w:rPr>
          <w:t>libertad@libertadciudadana.org</w:t>
        </w:r>
      </w:hyperlink>
    </w:p>
    <w:p w14:paraId="26450134" w14:textId="595FCF2B" w:rsidR="55B6B78E" w:rsidRDefault="55B6B78E" w:rsidP="55B6B78E">
      <w:pPr>
        <w:jc w:val="both"/>
        <w:rPr>
          <w:rFonts w:asciiTheme="majorHAnsi" w:eastAsiaTheme="majorEastAsia" w:hAnsiTheme="majorHAnsi" w:cstheme="majorBidi"/>
          <w:lang w:val="es-ES"/>
        </w:rPr>
      </w:pPr>
      <w:r w:rsidRPr="55B6B78E">
        <w:rPr>
          <w:rFonts w:asciiTheme="majorHAnsi" w:eastAsiaTheme="majorEastAsia" w:hAnsiTheme="majorHAnsi" w:cstheme="majorBidi"/>
          <w:lang w:val="es-ES"/>
        </w:rPr>
        <w:t xml:space="preserve"> teléfonos +507 2234120 /22 /24 / Cel. y WA  6981-1153</w:t>
      </w:r>
    </w:p>
    <w:p w14:paraId="0330F010" w14:textId="219D1D35" w:rsidR="55B6B78E" w:rsidRDefault="55B6B78E" w:rsidP="55B6B78E">
      <w:pPr>
        <w:jc w:val="both"/>
        <w:rPr>
          <w:rFonts w:asciiTheme="majorHAnsi" w:eastAsiaTheme="majorEastAsia" w:hAnsiTheme="majorHAnsi" w:cstheme="majorBidi"/>
          <w:lang w:val="es-ES"/>
        </w:rPr>
      </w:pPr>
      <w:r w:rsidRPr="55B6B78E">
        <w:rPr>
          <w:rFonts w:asciiTheme="majorHAnsi" w:eastAsiaTheme="majorEastAsia" w:hAnsiTheme="majorHAnsi" w:cstheme="majorBidi"/>
          <w:lang w:val="es-ES"/>
        </w:rPr>
        <w:t xml:space="preserve"> </w:t>
      </w:r>
    </w:p>
    <w:p w14:paraId="19F753F5" w14:textId="4D81A9F0" w:rsidR="55B6B78E" w:rsidRDefault="55B6B78E" w:rsidP="55B6B78E">
      <w:pPr>
        <w:jc w:val="both"/>
        <w:rPr>
          <w:rFonts w:asciiTheme="majorHAnsi" w:eastAsiaTheme="majorEastAsia" w:hAnsiTheme="majorHAnsi" w:cstheme="majorBidi"/>
          <w:b/>
          <w:bCs/>
          <w:lang w:val="es-ES"/>
        </w:rPr>
      </w:pPr>
      <w:r w:rsidRPr="55B6B78E">
        <w:rPr>
          <w:rFonts w:asciiTheme="majorHAnsi" w:eastAsiaTheme="majorEastAsia" w:hAnsiTheme="majorHAnsi" w:cstheme="majorBidi"/>
          <w:b/>
          <w:bCs/>
          <w:lang w:val="es-ES"/>
        </w:rPr>
        <w:t xml:space="preserve">FDLC-TI Panamá – Redes Sociales                   </w:t>
      </w:r>
      <w:r w:rsidRPr="009A7855">
        <w:rPr>
          <w:lang w:val="es-ES"/>
        </w:rPr>
        <w:tab/>
      </w:r>
      <w:r w:rsidRPr="55B6B78E">
        <w:rPr>
          <w:rFonts w:asciiTheme="majorHAnsi" w:eastAsiaTheme="majorEastAsia" w:hAnsiTheme="majorHAnsi" w:cstheme="majorBidi"/>
          <w:b/>
          <w:bCs/>
          <w:lang w:val="es-ES"/>
        </w:rPr>
        <w:t>RLTL – Redes Sociales</w:t>
      </w:r>
    </w:p>
    <w:p w14:paraId="635F2744" w14:textId="286B163B" w:rsidR="55B6B78E" w:rsidRPr="009A7855" w:rsidRDefault="55B6B78E" w:rsidP="55B6B78E">
      <w:pPr>
        <w:jc w:val="both"/>
        <w:rPr>
          <w:rFonts w:asciiTheme="majorHAnsi" w:eastAsiaTheme="majorEastAsia" w:hAnsiTheme="majorHAnsi" w:cstheme="majorBidi"/>
        </w:rPr>
      </w:pPr>
      <w:r w:rsidRPr="009A7855">
        <w:rPr>
          <w:rFonts w:asciiTheme="majorHAnsi" w:eastAsiaTheme="majorEastAsia" w:hAnsiTheme="majorHAnsi" w:cstheme="majorBidi"/>
        </w:rPr>
        <w:t>TW:     @</w:t>
      </w:r>
      <w:proofErr w:type="spellStart"/>
      <w:r w:rsidRPr="009A7855">
        <w:rPr>
          <w:rFonts w:asciiTheme="majorHAnsi" w:eastAsiaTheme="majorEastAsia" w:hAnsiTheme="majorHAnsi" w:cstheme="majorBidi"/>
        </w:rPr>
        <w:t>LibertCiudadana</w:t>
      </w:r>
      <w:proofErr w:type="spellEnd"/>
      <w:r w:rsidRPr="009A7855">
        <w:rPr>
          <w:rFonts w:asciiTheme="majorHAnsi" w:eastAsiaTheme="majorEastAsia" w:hAnsiTheme="majorHAnsi" w:cstheme="majorBidi"/>
        </w:rPr>
        <w:t xml:space="preserve">                                         </w:t>
      </w:r>
      <w:r>
        <w:tab/>
      </w:r>
      <w:r w:rsidRPr="009A7855">
        <w:rPr>
          <w:rFonts w:asciiTheme="majorHAnsi" w:eastAsiaTheme="majorEastAsia" w:hAnsiTheme="majorHAnsi" w:cstheme="majorBidi"/>
        </w:rPr>
        <w:t>TW: @</w:t>
      </w:r>
      <w:proofErr w:type="spellStart"/>
      <w:r w:rsidRPr="009A7855">
        <w:rPr>
          <w:rFonts w:asciiTheme="majorHAnsi" w:eastAsiaTheme="majorEastAsia" w:hAnsiTheme="majorHAnsi" w:cstheme="majorBidi"/>
        </w:rPr>
        <w:t>RedLTL</w:t>
      </w:r>
      <w:proofErr w:type="spellEnd"/>
    </w:p>
    <w:p w14:paraId="5B3AC46B" w14:textId="2D1F6C02" w:rsidR="55B6B78E" w:rsidRPr="009A7855" w:rsidRDefault="55B6B78E" w:rsidP="55B6B78E">
      <w:pPr>
        <w:jc w:val="both"/>
        <w:rPr>
          <w:rFonts w:asciiTheme="majorHAnsi" w:eastAsiaTheme="majorEastAsia" w:hAnsiTheme="majorHAnsi" w:cstheme="majorBidi"/>
        </w:rPr>
      </w:pPr>
      <w:r w:rsidRPr="009A7855">
        <w:rPr>
          <w:rFonts w:asciiTheme="majorHAnsi" w:eastAsiaTheme="majorEastAsia" w:hAnsiTheme="majorHAnsi" w:cstheme="majorBidi"/>
        </w:rPr>
        <w:t>IG:       @</w:t>
      </w:r>
      <w:proofErr w:type="spellStart"/>
      <w:r w:rsidRPr="009A7855">
        <w:rPr>
          <w:rFonts w:asciiTheme="majorHAnsi" w:eastAsiaTheme="majorEastAsia" w:hAnsiTheme="majorHAnsi" w:cstheme="majorBidi"/>
        </w:rPr>
        <w:t>LibertCiudadana</w:t>
      </w:r>
      <w:proofErr w:type="spellEnd"/>
      <w:r w:rsidRPr="009A7855">
        <w:rPr>
          <w:rFonts w:asciiTheme="majorHAnsi" w:eastAsiaTheme="majorEastAsia" w:hAnsiTheme="majorHAnsi" w:cstheme="majorBidi"/>
        </w:rPr>
        <w:t xml:space="preserve">                                         </w:t>
      </w:r>
      <w:r>
        <w:tab/>
      </w:r>
      <w:r w:rsidRPr="009A7855">
        <w:rPr>
          <w:rFonts w:asciiTheme="majorHAnsi" w:eastAsiaTheme="majorEastAsia" w:hAnsiTheme="majorHAnsi" w:cstheme="majorBidi"/>
        </w:rPr>
        <w:t>FB: @</w:t>
      </w:r>
      <w:proofErr w:type="spellStart"/>
      <w:r w:rsidRPr="009A7855">
        <w:rPr>
          <w:rFonts w:asciiTheme="majorHAnsi" w:eastAsiaTheme="majorEastAsia" w:hAnsiTheme="majorHAnsi" w:cstheme="majorBidi"/>
        </w:rPr>
        <w:t>RedLTL</w:t>
      </w:r>
      <w:proofErr w:type="spellEnd"/>
    </w:p>
    <w:p w14:paraId="31F50E88" w14:textId="266F0FDD" w:rsidR="55B6B78E" w:rsidRDefault="55B6B78E" w:rsidP="55B6B78E">
      <w:pPr>
        <w:jc w:val="both"/>
        <w:rPr>
          <w:rFonts w:asciiTheme="majorHAnsi" w:eastAsiaTheme="majorEastAsia" w:hAnsiTheme="majorHAnsi" w:cstheme="majorBidi"/>
          <w:lang w:val="es-ES"/>
        </w:rPr>
      </w:pPr>
      <w:r w:rsidRPr="55B6B78E">
        <w:rPr>
          <w:rFonts w:asciiTheme="majorHAnsi" w:eastAsiaTheme="majorEastAsia" w:hAnsiTheme="majorHAnsi" w:cstheme="majorBidi"/>
          <w:lang w:val="es-ES"/>
        </w:rPr>
        <w:t xml:space="preserve">FB:      </w:t>
      </w:r>
      <w:proofErr w:type="spellStart"/>
      <w:r w:rsidRPr="55B6B78E">
        <w:rPr>
          <w:rFonts w:asciiTheme="majorHAnsi" w:eastAsiaTheme="majorEastAsia" w:hAnsiTheme="majorHAnsi" w:cstheme="majorBidi"/>
          <w:lang w:val="es-ES"/>
        </w:rPr>
        <w:t>FundacionLibertadCiudadana</w:t>
      </w:r>
      <w:proofErr w:type="spellEnd"/>
    </w:p>
    <w:p w14:paraId="3CBA8A0A" w14:textId="77777777" w:rsidR="00642C91" w:rsidRDefault="00642C91" w:rsidP="55B6B78E">
      <w:pPr>
        <w:jc w:val="both"/>
        <w:rPr>
          <w:rFonts w:asciiTheme="majorHAnsi" w:eastAsiaTheme="majorEastAsia" w:hAnsiTheme="majorHAnsi" w:cstheme="majorBidi"/>
          <w:color w:val="212529"/>
          <w:lang w:val="es-ES"/>
        </w:rPr>
      </w:pPr>
    </w:p>
    <w:p w14:paraId="6BFACD1A" w14:textId="77777777" w:rsidR="00642C91" w:rsidRDefault="00642C91" w:rsidP="55B6B78E">
      <w:pPr>
        <w:jc w:val="both"/>
        <w:rPr>
          <w:rFonts w:asciiTheme="majorHAnsi" w:eastAsiaTheme="majorEastAsia" w:hAnsiTheme="majorHAnsi" w:cstheme="majorBidi"/>
          <w:color w:val="212529"/>
          <w:lang w:val="es-ES"/>
        </w:rPr>
      </w:pPr>
    </w:p>
    <w:p w14:paraId="7ED18C33" w14:textId="666DD17E" w:rsidR="55B6B78E" w:rsidRDefault="55B6B78E" w:rsidP="55B6B78E">
      <w:pPr>
        <w:jc w:val="both"/>
        <w:rPr>
          <w:rFonts w:asciiTheme="majorHAnsi" w:eastAsiaTheme="majorEastAsia" w:hAnsiTheme="majorHAnsi" w:cstheme="majorBidi"/>
          <w:b/>
          <w:bCs/>
          <w:color w:val="212529"/>
          <w:lang w:val="es-ES"/>
        </w:rPr>
      </w:pPr>
      <w:r w:rsidRPr="55B6B78E">
        <w:rPr>
          <w:rFonts w:asciiTheme="majorHAnsi" w:eastAsiaTheme="majorEastAsia" w:hAnsiTheme="majorHAnsi" w:cstheme="majorBidi"/>
          <w:color w:val="212529"/>
          <w:lang w:val="es-ES"/>
        </w:rPr>
        <w:t xml:space="preserve">La </w:t>
      </w:r>
      <w:r w:rsidRPr="55B6B78E">
        <w:rPr>
          <w:rFonts w:asciiTheme="majorHAnsi" w:eastAsiaTheme="majorEastAsia" w:hAnsiTheme="majorHAnsi" w:cstheme="majorBidi"/>
          <w:b/>
          <w:bCs/>
          <w:color w:val="212529"/>
          <w:lang w:val="es-ES"/>
        </w:rPr>
        <w:t>Fundación para el Desarrollo de la Libertad Ciudadana</w:t>
      </w:r>
      <w:r w:rsidRPr="55B6B78E">
        <w:rPr>
          <w:rFonts w:asciiTheme="majorHAnsi" w:eastAsiaTheme="majorEastAsia" w:hAnsiTheme="majorHAnsi" w:cstheme="majorBidi"/>
          <w:color w:val="212529"/>
          <w:lang w:val="es-ES"/>
        </w:rPr>
        <w:t xml:space="preserve"> en una organización sin fines de lucro de la sociedad civil fundada en 1995, cuya misión es la defensa de las libertades fundamentales, el perfeccionamiento de la democracia, la lucha contra la corrupción a través de la transparencia y la participación ciudadana. Desde 1997 somos el Capítulo Panameño de </w:t>
      </w:r>
      <w:r w:rsidRPr="55B6B78E">
        <w:rPr>
          <w:rFonts w:asciiTheme="majorHAnsi" w:eastAsiaTheme="majorEastAsia" w:hAnsiTheme="majorHAnsi" w:cstheme="majorBidi"/>
          <w:b/>
          <w:bCs/>
          <w:color w:val="212529"/>
          <w:lang w:val="es-ES"/>
        </w:rPr>
        <w:t>Transparencia Internacional.</w:t>
      </w:r>
    </w:p>
    <w:p w14:paraId="1E0ABC3F" w14:textId="77777777" w:rsidR="00642C91" w:rsidRDefault="00642C91" w:rsidP="55B6B78E">
      <w:pPr>
        <w:jc w:val="both"/>
        <w:rPr>
          <w:rFonts w:asciiTheme="majorHAnsi" w:eastAsiaTheme="majorEastAsia" w:hAnsiTheme="majorHAnsi" w:cstheme="majorBidi"/>
          <w:b/>
          <w:bCs/>
          <w:color w:val="212529"/>
          <w:lang w:val="es-ES"/>
        </w:rPr>
      </w:pPr>
    </w:p>
    <w:p w14:paraId="62C28C38" w14:textId="1C28807F" w:rsidR="55B6B78E" w:rsidRDefault="00642C91" w:rsidP="00642C91">
      <w:pPr>
        <w:jc w:val="both"/>
        <w:rPr>
          <w:rFonts w:ascii="Arial Black" w:eastAsia="Arial Black" w:hAnsi="Arial Black" w:cs="Arial Black"/>
          <w:b/>
          <w:bCs/>
          <w:lang w:val="es-ES"/>
        </w:rPr>
      </w:pPr>
      <w:r>
        <w:rPr>
          <w:rFonts w:asciiTheme="majorHAnsi" w:eastAsiaTheme="majorEastAsia" w:hAnsiTheme="majorHAnsi" w:cstheme="majorBidi"/>
          <w:noProof/>
          <w:lang w:val="es-ES"/>
        </w:rPr>
        <w:drawing>
          <wp:inline distT="0" distB="0" distL="0" distR="0" wp14:anchorId="7685FF6D" wp14:editId="18853AC2">
            <wp:extent cx="2741807" cy="712694"/>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base.jpg"/>
                    <pic:cNvPicPr/>
                  </pic:nvPicPr>
                  <pic:blipFill>
                    <a:blip r:embed="rId9">
                      <a:extLst>
                        <a:ext uri="{28A0092B-C50C-407E-A947-70E740481C1C}">
                          <a14:useLocalDpi xmlns:a14="http://schemas.microsoft.com/office/drawing/2010/main" val="0"/>
                        </a:ext>
                      </a:extLst>
                    </a:blip>
                    <a:stretch>
                      <a:fillRect/>
                    </a:stretch>
                  </pic:blipFill>
                  <pic:spPr>
                    <a:xfrm>
                      <a:off x="0" y="0"/>
                      <a:ext cx="2804915" cy="729098"/>
                    </a:xfrm>
                    <a:prstGeom prst="rect">
                      <a:avLst/>
                    </a:prstGeom>
                  </pic:spPr>
                </pic:pic>
              </a:graphicData>
            </a:graphic>
          </wp:inline>
        </w:drawing>
      </w:r>
      <w:r>
        <w:rPr>
          <w:rFonts w:asciiTheme="majorHAnsi" w:eastAsiaTheme="majorEastAsia" w:hAnsiTheme="majorHAnsi" w:cstheme="majorBidi"/>
          <w:lang w:val="es-ES"/>
        </w:rPr>
        <w:t xml:space="preserve">                </w:t>
      </w:r>
      <w:r>
        <w:rPr>
          <w:rFonts w:ascii="Arial Black" w:eastAsia="Arial Black" w:hAnsi="Arial Black" w:cs="Arial Black"/>
          <w:b/>
          <w:bCs/>
          <w:noProof/>
          <w:lang w:val="es-ES"/>
        </w:rPr>
        <w:drawing>
          <wp:inline distT="0" distB="0" distL="0" distR="0" wp14:anchorId="7D5241DD" wp14:editId="57B5B74A">
            <wp:extent cx="2033222" cy="14926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rltl.jpg"/>
                    <pic:cNvPicPr/>
                  </pic:nvPicPr>
                  <pic:blipFill rotWithShape="1">
                    <a:blip r:embed="rId10">
                      <a:extLst>
                        <a:ext uri="{28A0092B-C50C-407E-A947-70E740481C1C}">
                          <a14:useLocalDpi xmlns:a14="http://schemas.microsoft.com/office/drawing/2010/main" val="0"/>
                        </a:ext>
                      </a:extLst>
                    </a:blip>
                    <a:srcRect b="26588"/>
                    <a:stretch/>
                  </pic:blipFill>
                  <pic:spPr bwMode="auto">
                    <a:xfrm>
                      <a:off x="0" y="0"/>
                      <a:ext cx="2042532" cy="1499458"/>
                    </a:xfrm>
                    <a:prstGeom prst="rect">
                      <a:avLst/>
                    </a:prstGeom>
                    <a:ln>
                      <a:noFill/>
                    </a:ln>
                    <a:extLst>
                      <a:ext uri="{53640926-AAD7-44D8-BBD7-CCE9431645EC}">
                        <a14:shadowObscured xmlns:a14="http://schemas.microsoft.com/office/drawing/2010/main"/>
                      </a:ext>
                    </a:extLst>
                  </pic:spPr>
                </pic:pic>
              </a:graphicData>
            </a:graphic>
          </wp:inline>
        </w:drawing>
      </w:r>
    </w:p>
    <w:sectPr w:rsidR="55B6B78E" w:rsidSect="00813DC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intelligence.xml><?xml version="1.0" encoding="utf-8"?>
<int:Intelligence xmlns:int="http://schemas.microsoft.com/office/intelligence/2019/intelligence">
  <int:IntelligenceSettings/>
  <int:Manifest>
    <int:WordHash hashCode="v0jw07uNEMPLRa" id="bHbqyY75"/>
  </int:Manifest>
  <int:Observations>
    <int:Content id="bHbqyY75">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7C5D92"/>
    <w:multiLevelType w:val="hybridMultilevel"/>
    <w:tmpl w:val="DD2C8472"/>
    <w:lvl w:ilvl="0" w:tplc="A1AA9A00">
      <w:start w:val="1"/>
      <w:numFmt w:val="bullet"/>
      <w:lvlText w:val="-"/>
      <w:lvlJc w:val="left"/>
      <w:pPr>
        <w:ind w:left="720" w:hanging="360"/>
      </w:pPr>
      <w:rPr>
        <w:rFonts w:ascii="Calibri" w:hAnsi="Calibri" w:hint="default"/>
      </w:rPr>
    </w:lvl>
    <w:lvl w:ilvl="1" w:tplc="99840894">
      <w:start w:val="1"/>
      <w:numFmt w:val="bullet"/>
      <w:lvlText w:val="o"/>
      <w:lvlJc w:val="left"/>
      <w:pPr>
        <w:ind w:left="1440" w:hanging="360"/>
      </w:pPr>
      <w:rPr>
        <w:rFonts w:ascii="Courier New" w:hAnsi="Courier New" w:hint="default"/>
      </w:rPr>
    </w:lvl>
    <w:lvl w:ilvl="2" w:tplc="6E02CB14">
      <w:start w:val="1"/>
      <w:numFmt w:val="bullet"/>
      <w:lvlText w:val=""/>
      <w:lvlJc w:val="left"/>
      <w:pPr>
        <w:ind w:left="2160" w:hanging="360"/>
      </w:pPr>
      <w:rPr>
        <w:rFonts w:ascii="Wingdings" w:hAnsi="Wingdings" w:hint="default"/>
      </w:rPr>
    </w:lvl>
    <w:lvl w:ilvl="3" w:tplc="73F26E36">
      <w:start w:val="1"/>
      <w:numFmt w:val="bullet"/>
      <w:lvlText w:val=""/>
      <w:lvlJc w:val="left"/>
      <w:pPr>
        <w:ind w:left="2880" w:hanging="360"/>
      </w:pPr>
      <w:rPr>
        <w:rFonts w:ascii="Symbol" w:hAnsi="Symbol" w:hint="default"/>
      </w:rPr>
    </w:lvl>
    <w:lvl w:ilvl="4" w:tplc="AAB6A106">
      <w:start w:val="1"/>
      <w:numFmt w:val="bullet"/>
      <w:lvlText w:val="o"/>
      <w:lvlJc w:val="left"/>
      <w:pPr>
        <w:ind w:left="3600" w:hanging="360"/>
      </w:pPr>
      <w:rPr>
        <w:rFonts w:ascii="Courier New" w:hAnsi="Courier New" w:hint="default"/>
      </w:rPr>
    </w:lvl>
    <w:lvl w:ilvl="5" w:tplc="138EA3EE">
      <w:start w:val="1"/>
      <w:numFmt w:val="bullet"/>
      <w:lvlText w:val=""/>
      <w:lvlJc w:val="left"/>
      <w:pPr>
        <w:ind w:left="4320" w:hanging="360"/>
      </w:pPr>
      <w:rPr>
        <w:rFonts w:ascii="Wingdings" w:hAnsi="Wingdings" w:hint="default"/>
      </w:rPr>
    </w:lvl>
    <w:lvl w:ilvl="6" w:tplc="8200A2D6">
      <w:start w:val="1"/>
      <w:numFmt w:val="bullet"/>
      <w:lvlText w:val=""/>
      <w:lvlJc w:val="left"/>
      <w:pPr>
        <w:ind w:left="5040" w:hanging="360"/>
      </w:pPr>
      <w:rPr>
        <w:rFonts w:ascii="Symbol" w:hAnsi="Symbol" w:hint="default"/>
      </w:rPr>
    </w:lvl>
    <w:lvl w:ilvl="7" w:tplc="6F6C2222">
      <w:start w:val="1"/>
      <w:numFmt w:val="bullet"/>
      <w:lvlText w:val="o"/>
      <w:lvlJc w:val="left"/>
      <w:pPr>
        <w:ind w:left="5760" w:hanging="360"/>
      </w:pPr>
      <w:rPr>
        <w:rFonts w:ascii="Courier New" w:hAnsi="Courier New" w:hint="default"/>
      </w:rPr>
    </w:lvl>
    <w:lvl w:ilvl="8" w:tplc="C3401414">
      <w:start w:val="1"/>
      <w:numFmt w:val="bullet"/>
      <w:lvlText w:val=""/>
      <w:lvlJc w:val="left"/>
      <w:pPr>
        <w:ind w:left="6480" w:hanging="360"/>
      </w:pPr>
      <w:rPr>
        <w:rFonts w:ascii="Wingdings" w:hAnsi="Wingdings" w:hint="default"/>
      </w:rPr>
    </w:lvl>
  </w:abstractNum>
  <w:abstractNum w:abstractNumId="1" w15:restartNumberingAfterBreak="0">
    <w:nsid w:val="3AA4596F"/>
    <w:multiLevelType w:val="hybridMultilevel"/>
    <w:tmpl w:val="6EEE1002"/>
    <w:lvl w:ilvl="0" w:tplc="9F28599C">
      <w:start w:val="1"/>
      <w:numFmt w:val="bullet"/>
      <w:lvlText w:val="-"/>
      <w:lvlJc w:val="left"/>
      <w:pPr>
        <w:ind w:left="720" w:hanging="360"/>
      </w:pPr>
      <w:rPr>
        <w:rFonts w:ascii="Calibri" w:hAnsi="Calibri" w:hint="default"/>
      </w:rPr>
    </w:lvl>
    <w:lvl w:ilvl="1" w:tplc="46A49688">
      <w:start w:val="1"/>
      <w:numFmt w:val="bullet"/>
      <w:lvlText w:val="o"/>
      <w:lvlJc w:val="left"/>
      <w:pPr>
        <w:ind w:left="1440" w:hanging="360"/>
      </w:pPr>
      <w:rPr>
        <w:rFonts w:ascii="Courier New" w:hAnsi="Courier New" w:hint="default"/>
      </w:rPr>
    </w:lvl>
    <w:lvl w:ilvl="2" w:tplc="5CAA5B60">
      <w:start w:val="1"/>
      <w:numFmt w:val="bullet"/>
      <w:lvlText w:val=""/>
      <w:lvlJc w:val="left"/>
      <w:pPr>
        <w:ind w:left="2160" w:hanging="360"/>
      </w:pPr>
      <w:rPr>
        <w:rFonts w:ascii="Wingdings" w:hAnsi="Wingdings" w:hint="default"/>
      </w:rPr>
    </w:lvl>
    <w:lvl w:ilvl="3" w:tplc="F9F49F9A">
      <w:start w:val="1"/>
      <w:numFmt w:val="bullet"/>
      <w:lvlText w:val=""/>
      <w:lvlJc w:val="left"/>
      <w:pPr>
        <w:ind w:left="2880" w:hanging="360"/>
      </w:pPr>
      <w:rPr>
        <w:rFonts w:ascii="Symbol" w:hAnsi="Symbol" w:hint="default"/>
      </w:rPr>
    </w:lvl>
    <w:lvl w:ilvl="4" w:tplc="7FEE4EE4">
      <w:start w:val="1"/>
      <w:numFmt w:val="bullet"/>
      <w:lvlText w:val="o"/>
      <w:lvlJc w:val="left"/>
      <w:pPr>
        <w:ind w:left="3600" w:hanging="360"/>
      </w:pPr>
      <w:rPr>
        <w:rFonts w:ascii="Courier New" w:hAnsi="Courier New" w:hint="default"/>
      </w:rPr>
    </w:lvl>
    <w:lvl w:ilvl="5" w:tplc="E95635CA">
      <w:start w:val="1"/>
      <w:numFmt w:val="bullet"/>
      <w:lvlText w:val=""/>
      <w:lvlJc w:val="left"/>
      <w:pPr>
        <w:ind w:left="4320" w:hanging="360"/>
      </w:pPr>
      <w:rPr>
        <w:rFonts w:ascii="Wingdings" w:hAnsi="Wingdings" w:hint="default"/>
      </w:rPr>
    </w:lvl>
    <w:lvl w:ilvl="6" w:tplc="0D586624">
      <w:start w:val="1"/>
      <w:numFmt w:val="bullet"/>
      <w:lvlText w:val=""/>
      <w:lvlJc w:val="left"/>
      <w:pPr>
        <w:ind w:left="5040" w:hanging="360"/>
      </w:pPr>
      <w:rPr>
        <w:rFonts w:ascii="Symbol" w:hAnsi="Symbol" w:hint="default"/>
      </w:rPr>
    </w:lvl>
    <w:lvl w:ilvl="7" w:tplc="F304726A">
      <w:start w:val="1"/>
      <w:numFmt w:val="bullet"/>
      <w:lvlText w:val="o"/>
      <w:lvlJc w:val="left"/>
      <w:pPr>
        <w:ind w:left="5760" w:hanging="360"/>
      </w:pPr>
      <w:rPr>
        <w:rFonts w:ascii="Courier New" w:hAnsi="Courier New" w:hint="default"/>
      </w:rPr>
    </w:lvl>
    <w:lvl w:ilvl="8" w:tplc="C8C6E2C0">
      <w:start w:val="1"/>
      <w:numFmt w:val="bullet"/>
      <w:lvlText w:val=""/>
      <w:lvlJc w:val="left"/>
      <w:pPr>
        <w:ind w:left="6480" w:hanging="360"/>
      </w:pPr>
      <w:rPr>
        <w:rFonts w:ascii="Wingdings" w:hAnsi="Wingdings" w:hint="default"/>
      </w:rPr>
    </w:lvl>
  </w:abstractNum>
  <w:abstractNum w:abstractNumId="2" w15:restartNumberingAfterBreak="0">
    <w:nsid w:val="3CC16F51"/>
    <w:multiLevelType w:val="hybridMultilevel"/>
    <w:tmpl w:val="7F0455CA"/>
    <w:lvl w:ilvl="0" w:tplc="9FC83EF8">
      <w:start w:val="1"/>
      <w:numFmt w:val="bullet"/>
      <w:lvlText w:val=""/>
      <w:lvlJc w:val="left"/>
      <w:pPr>
        <w:ind w:left="720" w:hanging="360"/>
      </w:pPr>
      <w:rPr>
        <w:rFonts w:ascii="Symbol" w:hAnsi="Symbol" w:hint="default"/>
      </w:rPr>
    </w:lvl>
    <w:lvl w:ilvl="1" w:tplc="FB767D46">
      <w:start w:val="1"/>
      <w:numFmt w:val="bullet"/>
      <w:lvlText w:val="o"/>
      <w:lvlJc w:val="left"/>
      <w:pPr>
        <w:ind w:left="1440" w:hanging="360"/>
      </w:pPr>
      <w:rPr>
        <w:rFonts w:ascii="Courier New" w:hAnsi="Courier New" w:hint="default"/>
      </w:rPr>
    </w:lvl>
    <w:lvl w:ilvl="2" w:tplc="6626570A">
      <w:start w:val="1"/>
      <w:numFmt w:val="bullet"/>
      <w:lvlText w:val=""/>
      <w:lvlJc w:val="left"/>
      <w:pPr>
        <w:ind w:left="2160" w:hanging="360"/>
      </w:pPr>
      <w:rPr>
        <w:rFonts w:ascii="Wingdings" w:hAnsi="Wingdings" w:hint="default"/>
      </w:rPr>
    </w:lvl>
    <w:lvl w:ilvl="3" w:tplc="93C6905E">
      <w:start w:val="1"/>
      <w:numFmt w:val="bullet"/>
      <w:lvlText w:val=""/>
      <w:lvlJc w:val="left"/>
      <w:pPr>
        <w:ind w:left="2880" w:hanging="360"/>
      </w:pPr>
      <w:rPr>
        <w:rFonts w:ascii="Symbol" w:hAnsi="Symbol" w:hint="default"/>
      </w:rPr>
    </w:lvl>
    <w:lvl w:ilvl="4" w:tplc="0EBA6CD4">
      <w:start w:val="1"/>
      <w:numFmt w:val="bullet"/>
      <w:lvlText w:val="o"/>
      <w:lvlJc w:val="left"/>
      <w:pPr>
        <w:ind w:left="3600" w:hanging="360"/>
      </w:pPr>
      <w:rPr>
        <w:rFonts w:ascii="Courier New" w:hAnsi="Courier New" w:hint="default"/>
      </w:rPr>
    </w:lvl>
    <w:lvl w:ilvl="5" w:tplc="8E64397A">
      <w:start w:val="1"/>
      <w:numFmt w:val="bullet"/>
      <w:lvlText w:val=""/>
      <w:lvlJc w:val="left"/>
      <w:pPr>
        <w:ind w:left="4320" w:hanging="360"/>
      </w:pPr>
      <w:rPr>
        <w:rFonts w:ascii="Wingdings" w:hAnsi="Wingdings" w:hint="default"/>
      </w:rPr>
    </w:lvl>
    <w:lvl w:ilvl="6" w:tplc="6B200D6A">
      <w:start w:val="1"/>
      <w:numFmt w:val="bullet"/>
      <w:lvlText w:val=""/>
      <w:lvlJc w:val="left"/>
      <w:pPr>
        <w:ind w:left="5040" w:hanging="360"/>
      </w:pPr>
      <w:rPr>
        <w:rFonts w:ascii="Symbol" w:hAnsi="Symbol" w:hint="default"/>
      </w:rPr>
    </w:lvl>
    <w:lvl w:ilvl="7" w:tplc="0BFC30C2">
      <w:start w:val="1"/>
      <w:numFmt w:val="bullet"/>
      <w:lvlText w:val="o"/>
      <w:lvlJc w:val="left"/>
      <w:pPr>
        <w:ind w:left="5760" w:hanging="360"/>
      </w:pPr>
      <w:rPr>
        <w:rFonts w:ascii="Courier New" w:hAnsi="Courier New" w:hint="default"/>
      </w:rPr>
    </w:lvl>
    <w:lvl w:ilvl="8" w:tplc="02805656">
      <w:start w:val="1"/>
      <w:numFmt w:val="bullet"/>
      <w:lvlText w:val=""/>
      <w:lvlJc w:val="left"/>
      <w:pPr>
        <w:ind w:left="6480" w:hanging="360"/>
      </w:pPr>
      <w:rPr>
        <w:rFonts w:ascii="Wingdings" w:hAnsi="Wingdings" w:hint="default"/>
      </w:rPr>
    </w:lvl>
  </w:abstractNum>
  <w:abstractNum w:abstractNumId="3" w15:restartNumberingAfterBreak="0">
    <w:nsid w:val="51237655"/>
    <w:multiLevelType w:val="hybridMultilevel"/>
    <w:tmpl w:val="BA9C9D7A"/>
    <w:lvl w:ilvl="0" w:tplc="E3DC0DC4">
      <w:start w:val="1"/>
      <w:numFmt w:val="bullet"/>
      <w:lvlText w:val="-"/>
      <w:lvlJc w:val="left"/>
      <w:pPr>
        <w:ind w:left="720" w:hanging="360"/>
      </w:pPr>
      <w:rPr>
        <w:rFonts w:ascii="Calibri" w:hAnsi="Calibri" w:hint="default"/>
      </w:rPr>
    </w:lvl>
    <w:lvl w:ilvl="1" w:tplc="808E28EA">
      <w:start w:val="1"/>
      <w:numFmt w:val="bullet"/>
      <w:lvlText w:val="o"/>
      <w:lvlJc w:val="left"/>
      <w:pPr>
        <w:ind w:left="1440" w:hanging="360"/>
      </w:pPr>
      <w:rPr>
        <w:rFonts w:ascii="Courier New" w:hAnsi="Courier New" w:hint="default"/>
      </w:rPr>
    </w:lvl>
    <w:lvl w:ilvl="2" w:tplc="1EC83C26">
      <w:start w:val="1"/>
      <w:numFmt w:val="bullet"/>
      <w:lvlText w:val=""/>
      <w:lvlJc w:val="left"/>
      <w:pPr>
        <w:ind w:left="2160" w:hanging="360"/>
      </w:pPr>
      <w:rPr>
        <w:rFonts w:ascii="Wingdings" w:hAnsi="Wingdings" w:hint="default"/>
      </w:rPr>
    </w:lvl>
    <w:lvl w:ilvl="3" w:tplc="EF785F2E">
      <w:start w:val="1"/>
      <w:numFmt w:val="bullet"/>
      <w:lvlText w:val=""/>
      <w:lvlJc w:val="left"/>
      <w:pPr>
        <w:ind w:left="2880" w:hanging="360"/>
      </w:pPr>
      <w:rPr>
        <w:rFonts w:ascii="Symbol" w:hAnsi="Symbol" w:hint="default"/>
      </w:rPr>
    </w:lvl>
    <w:lvl w:ilvl="4" w:tplc="F15AA9C4">
      <w:start w:val="1"/>
      <w:numFmt w:val="bullet"/>
      <w:lvlText w:val="o"/>
      <w:lvlJc w:val="left"/>
      <w:pPr>
        <w:ind w:left="3600" w:hanging="360"/>
      </w:pPr>
      <w:rPr>
        <w:rFonts w:ascii="Courier New" w:hAnsi="Courier New" w:hint="default"/>
      </w:rPr>
    </w:lvl>
    <w:lvl w:ilvl="5" w:tplc="5360FFF8">
      <w:start w:val="1"/>
      <w:numFmt w:val="bullet"/>
      <w:lvlText w:val=""/>
      <w:lvlJc w:val="left"/>
      <w:pPr>
        <w:ind w:left="4320" w:hanging="360"/>
      </w:pPr>
      <w:rPr>
        <w:rFonts w:ascii="Wingdings" w:hAnsi="Wingdings" w:hint="default"/>
      </w:rPr>
    </w:lvl>
    <w:lvl w:ilvl="6" w:tplc="7DFCCA0E">
      <w:start w:val="1"/>
      <w:numFmt w:val="bullet"/>
      <w:lvlText w:val=""/>
      <w:lvlJc w:val="left"/>
      <w:pPr>
        <w:ind w:left="5040" w:hanging="360"/>
      </w:pPr>
      <w:rPr>
        <w:rFonts w:ascii="Symbol" w:hAnsi="Symbol" w:hint="default"/>
      </w:rPr>
    </w:lvl>
    <w:lvl w:ilvl="7" w:tplc="032AAB22">
      <w:start w:val="1"/>
      <w:numFmt w:val="bullet"/>
      <w:lvlText w:val="o"/>
      <w:lvlJc w:val="left"/>
      <w:pPr>
        <w:ind w:left="5760" w:hanging="360"/>
      </w:pPr>
      <w:rPr>
        <w:rFonts w:ascii="Courier New" w:hAnsi="Courier New" w:hint="default"/>
      </w:rPr>
    </w:lvl>
    <w:lvl w:ilvl="8" w:tplc="A2E4A208">
      <w:start w:val="1"/>
      <w:numFmt w:val="bullet"/>
      <w:lvlText w:val=""/>
      <w:lvlJc w:val="left"/>
      <w:pPr>
        <w:ind w:left="6480" w:hanging="360"/>
      </w:pPr>
      <w:rPr>
        <w:rFonts w:ascii="Wingdings" w:hAnsi="Wingdings" w:hint="default"/>
      </w:rPr>
    </w:lvl>
  </w:abstractNum>
  <w:abstractNum w:abstractNumId="4" w15:restartNumberingAfterBreak="0">
    <w:nsid w:val="51B265AD"/>
    <w:multiLevelType w:val="hybridMultilevel"/>
    <w:tmpl w:val="DAA0C73C"/>
    <w:lvl w:ilvl="0" w:tplc="D03E8E6A">
      <w:start w:val="1"/>
      <w:numFmt w:val="bullet"/>
      <w:lvlText w:val="-"/>
      <w:lvlJc w:val="left"/>
      <w:pPr>
        <w:ind w:left="720" w:hanging="360"/>
      </w:pPr>
      <w:rPr>
        <w:rFonts w:ascii="Calibri" w:hAnsi="Calibri" w:hint="default"/>
      </w:rPr>
    </w:lvl>
    <w:lvl w:ilvl="1" w:tplc="1F60EB5A">
      <w:start w:val="1"/>
      <w:numFmt w:val="bullet"/>
      <w:lvlText w:val="o"/>
      <w:lvlJc w:val="left"/>
      <w:pPr>
        <w:ind w:left="1440" w:hanging="360"/>
      </w:pPr>
      <w:rPr>
        <w:rFonts w:ascii="Courier New" w:hAnsi="Courier New" w:hint="default"/>
      </w:rPr>
    </w:lvl>
    <w:lvl w:ilvl="2" w:tplc="9816039A">
      <w:start w:val="1"/>
      <w:numFmt w:val="bullet"/>
      <w:lvlText w:val=""/>
      <w:lvlJc w:val="left"/>
      <w:pPr>
        <w:ind w:left="2160" w:hanging="360"/>
      </w:pPr>
      <w:rPr>
        <w:rFonts w:ascii="Wingdings" w:hAnsi="Wingdings" w:hint="default"/>
      </w:rPr>
    </w:lvl>
    <w:lvl w:ilvl="3" w:tplc="66E03C68">
      <w:start w:val="1"/>
      <w:numFmt w:val="bullet"/>
      <w:lvlText w:val=""/>
      <w:lvlJc w:val="left"/>
      <w:pPr>
        <w:ind w:left="2880" w:hanging="360"/>
      </w:pPr>
      <w:rPr>
        <w:rFonts w:ascii="Symbol" w:hAnsi="Symbol" w:hint="default"/>
      </w:rPr>
    </w:lvl>
    <w:lvl w:ilvl="4" w:tplc="EAB83296">
      <w:start w:val="1"/>
      <w:numFmt w:val="bullet"/>
      <w:lvlText w:val="o"/>
      <w:lvlJc w:val="left"/>
      <w:pPr>
        <w:ind w:left="3600" w:hanging="360"/>
      </w:pPr>
      <w:rPr>
        <w:rFonts w:ascii="Courier New" w:hAnsi="Courier New" w:hint="default"/>
      </w:rPr>
    </w:lvl>
    <w:lvl w:ilvl="5" w:tplc="F1D64118">
      <w:start w:val="1"/>
      <w:numFmt w:val="bullet"/>
      <w:lvlText w:val=""/>
      <w:lvlJc w:val="left"/>
      <w:pPr>
        <w:ind w:left="4320" w:hanging="360"/>
      </w:pPr>
      <w:rPr>
        <w:rFonts w:ascii="Wingdings" w:hAnsi="Wingdings" w:hint="default"/>
      </w:rPr>
    </w:lvl>
    <w:lvl w:ilvl="6" w:tplc="AC62A65A">
      <w:start w:val="1"/>
      <w:numFmt w:val="bullet"/>
      <w:lvlText w:val=""/>
      <w:lvlJc w:val="left"/>
      <w:pPr>
        <w:ind w:left="5040" w:hanging="360"/>
      </w:pPr>
      <w:rPr>
        <w:rFonts w:ascii="Symbol" w:hAnsi="Symbol" w:hint="default"/>
      </w:rPr>
    </w:lvl>
    <w:lvl w:ilvl="7" w:tplc="6F8271C2">
      <w:start w:val="1"/>
      <w:numFmt w:val="bullet"/>
      <w:lvlText w:val="o"/>
      <w:lvlJc w:val="left"/>
      <w:pPr>
        <w:ind w:left="5760" w:hanging="360"/>
      </w:pPr>
      <w:rPr>
        <w:rFonts w:ascii="Courier New" w:hAnsi="Courier New" w:hint="default"/>
      </w:rPr>
    </w:lvl>
    <w:lvl w:ilvl="8" w:tplc="94983886">
      <w:start w:val="1"/>
      <w:numFmt w:val="bullet"/>
      <w:lvlText w:val=""/>
      <w:lvlJc w:val="left"/>
      <w:pPr>
        <w:ind w:left="6480" w:hanging="360"/>
      </w:pPr>
      <w:rPr>
        <w:rFonts w:ascii="Wingdings" w:hAnsi="Wingdings" w:hint="default"/>
      </w:rPr>
    </w:lvl>
  </w:abstractNum>
  <w:abstractNum w:abstractNumId="5" w15:restartNumberingAfterBreak="0">
    <w:nsid w:val="60916263"/>
    <w:multiLevelType w:val="hybridMultilevel"/>
    <w:tmpl w:val="7E66AB9C"/>
    <w:lvl w:ilvl="0" w:tplc="14A452D0">
      <w:start w:val="1"/>
      <w:numFmt w:val="bullet"/>
      <w:lvlText w:val="-"/>
      <w:lvlJc w:val="left"/>
      <w:pPr>
        <w:ind w:left="720" w:hanging="360"/>
      </w:pPr>
      <w:rPr>
        <w:rFonts w:ascii="Calibri" w:hAnsi="Calibri" w:hint="default"/>
      </w:rPr>
    </w:lvl>
    <w:lvl w:ilvl="1" w:tplc="5596EE94">
      <w:start w:val="1"/>
      <w:numFmt w:val="bullet"/>
      <w:lvlText w:val="o"/>
      <w:lvlJc w:val="left"/>
      <w:pPr>
        <w:ind w:left="1440" w:hanging="360"/>
      </w:pPr>
      <w:rPr>
        <w:rFonts w:ascii="Courier New" w:hAnsi="Courier New" w:hint="default"/>
      </w:rPr>
    </w:lvl>
    <w:lvl w:ilvl="2" w:tplc="6644D73E">
      <w:start w:val="1"/>
      <w:numFmt w:val="bullet"/>
      <w:lvlText w:val=""/>
      <w:lvlJc w:val="left"/>
      <w:pPr>
        <w:ind w:left="2160" w:hanging="360"/>
      </w:pPr>
      <w:rPr>
        <w:rFonts w:ascii="Wingdings" w:hAnsi="Wingdings" w:hint="default"/>
      </w:rPr>
    </w:lvl>
    <w:lvl w:ilvl="3" w:tplc="FE58008A">
      <w:start w:val="1"/>
      <w:numFmt w:val="bullet"/>
      <w:lvlText w:val=""/>
      <w:lvlJc w:val="left"/>
      <w:pPr>
        <w:ind w:left="2880" w:hanging="360"/>
      </w:pPr>
      <w:rPr>
        <w:rFonts w:ascii="Symbol" w:hAnsi="Symbol" w:hint="default"/>
      </w:rPr>
    </w:lvl>
    <w:lvl w:ilvl="4" w:tplc="2A1CD6C0">
      <w:start w:val="1"/>
      <w:numFmt w:val="bullet"/>
      <w:lvlText w:val="o"/>
      <w:lvlJc w:val="left"/>
      <w:pPr>
        <w:ind w:left="3600" w:hanging="360"/>
      </w:pPr>
      <w:rPr>
        <w:rFonts w:ascii="Courier New" w:hAnsi="Courier New" w:hint="default"/>
      </w:rPr>
    </w:lvl>
    <w:lvl w:ilvl="5" w:tplc="44B8A956">
      <w:start w:val="1"/>
      <w:numFmt w:val="bullet"/>
      <w:lvlText w:val=""/>
      <w:lvlJc w:val="left"/>
      <w:pPr>
        <w:ind w:left="4320" w:hanging="360"/>
      </w:pPr>
      <w:rPr>
        <w:rFonts w:ascii="Wingdings" w:hAnsi="Wingdings" w:hint="default"/>
      </w:rPr>
    </w:lvl>
    <w:lvl w:ilvl="6" w:tplc="F774C8D8">
      <w:start w:val="1"/>
      <w:numFmt w:val="bullet"/>
      <w:lvlText w:val=""/>
      <w:lvlJc w:val="left"/>
      <w:pPr>
        <w:ind w:left="5040" w:hanging="360"/>
      </w:pPr>
      <w:rPr>
        <w:rFonts w:ascii="Symbol" w:hAnsi="Symbol" w:hint="default"/>
      </w:rPr>
    </w:lvl>
    <w:lvl w:ilvl="7" w:tplc="8670FCDE">
      <w:start w:val="1"/>
      <w:numFmt w:val="bullet"/>
      <w:lvlText w:val="o"/>
      <w:lvlJc w:val="left"/>
      <w:pPr>
        <w:ind w:left="5760" w:hanging="360"/>
      </w:pPr>
      <w:rPr>
        <w:rFonts w:ascii="Courier New" w:hAnsi="Courier New" w:hint="default"/>
      </w:rPr>
    </w:lvl>
    <w:lvl w:ilvl="8" w:tplc="7BCA82EE">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457"/>
    <w:rsid w:val="001C5F35"/>
    <w:rsid w:val="004A5CF5"/>
    <w:rsid w:val="004E1457"/>
    <w:rsid w:val="00543098"/>
    <w:rsid w:val="00642C91"/>
    <w:rsid w:val="00813DC5"/>
    <w:rsid w:val="009A7855"/>
    <w:rsid w:val="009D0D54"/>
    <w:rsid w:val="009F1513"/>
    <w:rsid w:val="00A66CCF"/>
    <w:rsid w:val="00C60358"/>
    <w:rsid w:val="00D321D1"/>
    <w:rsid w:val="55B6B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CF8E6"/>
  <w14:defaultImageDpi w14:val="32767"/>
  <w15:chartTrackingRefBased/>
  <w15:docId w15:val="{BAEDF9CF-108A-7745-9AE1-BFB5D9A0F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1457"/>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rsid w:val="005430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347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bertad@libertadciudadana.org" TargetMode="External"/><Relationship Id="R2082c4da2ade437f" Type="http://schemas.microsoft.com/office/2019/09/relationships/intelligence" Target="intelligence.xml"/><Relationship Id="rId3" Type="http://schemas.openxmlformats.org/officeDocument/2006/relationships/settings" Target="settings.xml"/><Relationship Id="rId7" Type="http://schemas.openxmlformats.org/officeDocument/2006/relationships/hyperlink" Target="https://www.libertadciudadana.org/proyecto/indice-de-transparencia-legislativ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ransparencialegislativa.org" TargetMode="External"/><Relationship Id="rId11" Type="http://schemas.openxmlformats.org/officeDocument/2006/relationships/fontTable" Target="fontTable.xml"/><Relationship Id="rId5" Type="http://schemas.openxmlformats.org/officeDocument/2006/relationships/hyperlink" Target="https://www.transparencialegislativa.org/indice-2020/" TargetMode="Externa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4</Pages>
  <Words>1439</Words>
  <Characters>7368</Characters>
  <Application>Microsoft Office Word</Application>
  <DocSecurity>0</DocSecurity>
  <Lines>127</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de Obaldia (TI PA)</dc:creator>
  <cp:keywords/>
  <dc:description/>
  <cp:lastModifiedBy>Olga de Obaldia (TI PA)</cp:lastModifiedBy>
  <cp:revision>5</cp:revision>
  <dcterms:created xsi:type="dcterms:W3CDTF">2021-08-23T21:17:00Z</dcterms:created>
  <dcterms:modified xsi:type="dcterms:W3CDTF">2021-08-25T06:53:00Z</dcterms:modified>
</cp:coreProperties>
</file>