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BD" w:rsidRPr="00503425" w:rsidRDefault="003F55BD" w:rsidP="003F55BD">
      <w:pPr>
        <w:spacing w:after="0"/>
        <w:rPr>
          <w:rFonts w:ascii="Times New Roman" w:eastAsia="Times New Roman" w:hAnsi="Times New Roman" w:cs="Times New Roman"/>
          <w:b/>
          <w:color w:val="1C1E29"/>
          <w:szCs w:val="24"/>
        </w:rPr>
      </w:pPr>
      <w:r w:rsidRPr="00503425">
        <w:rPr>
          <w:rFonts w:ascii="Times New Roman" w:eastAsia="Times New Roman" w:hAnsi="Times New Roman" w:cs="Times New Roman"/>
          <w:b/>
          <w:noProof/>
          <w:color w:val="1C1E29"/>
          <w:szCs w:val="24"/>
        </w:rPr>
        <w:drawing>
          <wp:anchor distT="0" distB="0" distL="114300" distR="114300" simplePos="0" relativeHeight="251659264" behindDoc="0" locked="0" layoutInCell="1" allowOverlap="1" wp14:anchorId="2D3D8157" wp14:editId="2B97B4FB">
            <wp:simplePos x="0" y="0"/>
            <wp:positionH relativeFrom="column">
              <wp:posOffset>4452620</wp:posOffset>
            </wp:positionH>
            <wp:positionV relativeFrom="paragraph">
              <wp:posOffset>-214630</wp:posOffset>
            </wp:positionV>
            <wp:extent cx="150495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cbar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425">
        <w:rPr>
          <w:rFonts w:ascii="Times New Roman" w:eastAsia="Times New Roman" w:hAnsi="Times New Roman" w:cs="Times New Roman"/>
          <w:b/>
          <w:noProof/>
          <w:color w:val="1C1E29"/>
          <w:szCs w:val="24"/>
        </w:rPr>
        <w:drawing>
          <wp:anchor distT="0" distB="0" distL="114300" distR="114300" simplePos="0" relativeHeight="251660288" behindDoc="0" locked="0" layoutInCell="1" allowOverlap="1" wp14:anchorId="7606DADF" wp14:editId="0007871D">
            <wp:simplePos x="0" y="0"/>
            <wp:positionH relativeFrom="column">
              <wp:posOffset>-257175</wp:posOffset>
            </wp:positionH>
            <wp:positionV relativeFrom="paragraph">
              <wp:posOffset>-349250</wp:posOffset>
            </wp:positionV>
            <wp:extent cx="4366895" cy="1151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rent Vance Cent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5BD" w:rsidRPr="00503425" w:rsidRDefault="003F55BD" w:rsidP="003F55BD">
      <w:pPr>
        <w:spacing w:after="0"/>
        <w:rPr>
          <w:rFonts w:ascii="Times New Roman" w:eastAsia="Times New Roman" w:hAnsi="Times New Roman" w:cs="Times New Roman"/>
          <w:b/>
          <w:color w:val="1C1E29"/>
          <w:szCs w:val="24"/>
        </w:rPr>
      </w:pPr>
    </w:p>
    <w:p w:rsidR="003F55BD" w:rsidRPr="00503425" w:rsidRDefault="003F55BD" w:rsidP="003F55BD">
      <w:pPr>
        <w:spacing w:after="0"/>
        <w:rPr>
          <w:rFonts w:ascii="Times New Roman" w:eastAsia="Times New Roman" w:hAnsi="Times New Roman" w:cs="Times New Roman"/>
          <w:b/>
          <w:color w:val="1C1E29"/>
          <w:szCs w:val="24"/>
        </w:rPr>
      </w:pPr>
    </w:p>
    <w:p w:rsidR="003F55BD" w:rsidRPr="00503425" w:rsidRDefault="003F55BD" w:rsidP="003F55BD">
      <w:pPr>
        <w:spacing w:after="0"/>
        <w:rPr>
          <w:rFonts w:ascii="Times New Roman" w:eastAsia="Times New Roman" w:hAnsi="Times New Roman" w:cs="Times New Roman"/>
          <w:b/>
          <w:color w:val="1C1E29"/>
          <w:szCs w:val="24"/>
        </w:rPr>
      </w:pPr>
    </w:p>
    <w:p w:rsidR="003F55BD" w:rsidRPr="00503425" w:rsidRDefault="003F55BD" w:rsidP="003F55BD">
      <w:pPr>
        <w:spacing w:after="0"/>
        <w:rPr>
          <w:rFonts w:ascii="Times New Roman" w:eastAsia="Times New Roman" w:hAnsi="Times New Roman" w:cs="Times New Roman"/>
          <w:b/>
          <w:color w:val="1C1E29"/>
          <w:szCs w:val="24"/>
        </w:rPr>
      </w:pPr>
    </w:p>
    <w:p w:rsidR="003F55BD" w:rsidRPr="00503425" w:rsidRDefault="003F55BD" w:rsidP="003F55BD">
      <w:pPr>
        <w:spacing w:after="0"/>
        <w:rPr>
          <w:rFonts w:ascii="Times New Roman" w:eastAsia="Times New Roman" w:hAnsi="Times New Roman" w:cs="Times New Roman"/>
          <w:b/>
          <w:color w:val="1C1E29"/>
          <w:szCs w:val="24"/>
        </w:rPr>
      </w:pPr>
    </w:p>
    <w:p w:rsidR="003F55BD" w:rsidRPr="009E13A0" w:rsidRDefault="00D5548F" w:rsidP="003F55BD">
      <w:pPr>
        <w:spacing w:after="0"/>
        <w:rPr>
          <w:rFonts w:ascii="Times New Roman" w:eastAsia="Times New Roman" w:hAnsi="Times New Roman" w:cs="Times New Roman"/>
          <w:b/>
          <w:color w:val="1C1E29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1C1E29"/>
          <w:szCs w:val="24"/>
          <w:lang w:val="es-ES_tradnl"/>
        </w:rPr>
        <w:t>PARA DIFUSIÓN INMEDIATA</w:t>
      </w:r>
    </w:p>
    <w:p w:rsidR="009B2328" w:rsidRPr="009B2328" w:rsidRDefault="009B2328" w:rsidP="009B2328">
      <w:pPr>
        <w:rPr>
          <w:lang w:val="es-ES_tradnl"/>
        </w:rPr>
      </w:pPr>
    </w:p>
    <w:p w:rsidR="00DF6A6D" w:rsidRDefault="0055680D" w:rsidP="00DF6A6D">
      <w:pPr>
        <w:jc w:val="center"/>
        <w:rPr>
          <w:b/>
          <w:sz w:val="28"/>
          <w:lang w:val="es-ES_tradnl"/>
        </w:rPr>
      </w:pPr>
      <w:hyperlink r:id="rId6" w:history="1">
        <w:proofErr w:type="spellStart"/>
        <w:r w:rsidR="00DF6A6D" w:rsidRPr="0055680D">
          <w:rPr>
            <w:rStyle w:val="Hipervnculo"/>
            <w:b/>
            <w:sz w:val="28"/>
            <w:lang w:val="es-ES_tradnl"/>
          </w:rPr>
          <w:t>Vance</w:t>
        </w:r>
        <w:proofErr w:type="spellEnd"/>
        <w:r w:rsidR="00DF6A6D" w:rsidRPr="0055680D">
          <w:rPr>
            <w:rStyle w:val="Hipervnculo"/>
            <w:b/>
            <w:sz w:val="28"/>
            <w:lang w:val="es-ES_tradnl"/>
          </w:rPr>
          <w:t xml:space="preserve"> Center y Transparencia Internacional Panamá promueven la reforma del Registro Beneficiarios Finales</w:t>
        </w:r>
      </w:hyperlink>
    </w:p>
    <w:p w:rsidR="00DF6A6D" w:rsidRPr="00DF6A6D" w:rsidRDefault="00DF6A6D" w:rsidP="00DF6A6D">
      <w:pPr>
        <w:pStyle w:val="Sinespaciado"/>
        <w:rPr>
          <w:lang w:val="es-ES_tradnl"/>
        </w:rPr>
      </w:pPr>
    </w:p>
    <w:p w:rsidR="00DF6A6D" w:rsidRPr="00DF6A6D" w:rsidRDefault="00DF6A6D" w:rsidP="00DF6A6D">
      <w:pPr>
        <w:rPr>
          <w:lang w:val="es-ES_tradnl"/>
        </w:rPr>
      </w:pPr>
      <w:r w:rsidRPr="00DF6A6D">
        <w:rPr>
          <w:lang w:val="es-ES_tradnl"/>
        </w:rPr>
        <w:t xml:space="preserve">Nueva York, 28 de octubre de 2020 - El acceso restringido al nuevo registro final de beneficiarios </w:t>
      </w:r>
      <w:r>
        <w:rPr>
          <w:lang w:val="es-ES_tradnl"/>
        </w:rPr>
        <w:t>finales</w:t>
      </w:r>
      <w:r w:rsidRPr="00DF6A6D">
        <w:rPr>
          <w:lang w:val="es-ES_tradnl"/>
        </w:rPr>
        <w:t xml:space="preserve"> en Panamá podría obstaculizar la prevención efectiva del lavado de dinero y la corrupción, según un informe del </w:t>
      </w:r>
      <w:r w:rsidRPr="00DF6A6D">
        <w:rPr>
          <w:i/>
          <w:lang w:val="es-ES_tradnl"/>
        </w:rPr>
        <w:t xml:space="preserve">Cyrus R. Vance Center </w:t>
      </w:r>
      <w:proofErr w:type="spellStart"/>
      <w:r w:rsidRPr="00DF6A6D">
        <w:rPr>
          <w:i/>
          <w:lang w:val="es-ES_tradnl"/>
        </w:rPr>
        <w:t>for</w:t>
      </w:r>
      <w:proofErr w:type="spellEnd"/>
      <w:r w:rsidRPr="00DF6A6D">
        <w:rPr>
          <w:i/>
          <w:lang w:val="es-ES_tradnl"/>
        </w:rPr>
        <w:t xml:space="preserve"> International </w:t>
      </w:r>
      <w:proofErr w:type="spellStart"/>
      <w:r w:rsidRPr="00DF6A6D">
        <w:rPr>
          <w:i/>
          <w:lang w:val="es-ES_tradnl"/>
        </w:rPr>
        <w:t>Justice</w:t>
      </w:r>
      <w:proofErr w:type="spellEnd"/>
      <w:r w:rsidRPr="00DF6A6D">
        <w:rPr>
          <w:i/>
          <w:lang w:val="es-ES_tradnl"/>
        </w:rPr>
        <w:t xml:space="preserve"> </w:t>
      </w:r>
      <w:r w:rsidRPr="00DF6A6D">
        <w:rPr>
          <w:lang w:val="es-ES_tradnl"/>
        </w:rPr>
        <w:t xml:space="preserve">y Transparencia Internacional Panamá. </w:t>
      </w:r>
      <w:r w:rsidRPr="00DF6A6D">
        <w:rPr>
          <w:b/>
          <w:lang w:val="es-ES_tradnl"/>
        </w:rPr>
        <w:t>Revelando las estructuras corporativas. Una mirada internacional sobre los registros de beneficiarios finales</w:t>
      </w:r>
      <w:r w:rsidRPr="00DF6A6D">
        <w:rPr>
          <w:lang w:val="es-ES_tradnl"/>
        </w:rPr>
        <w:t xml:space="preserve">, disponible en </w:t>
      </w:r>
      <w:hyperlink r:id="rId7" w:history="1">
        <w:r w:rsidRPr="0055680D">
          <w:rPr>
            <w:rStyle w:val="Hipervnculo"/>
            <w:lang w:val="es-ES_tradnl"/>
          </w:rPr>
          <w:t>inglés</w:t>
        </w:r>
      </w:hyperlink>
      <w:r w:rsidRPr="00DF6A6D">
        <w:rPr>
          <w:lang w:val="es-ES_tradnl"/>
        </w:rPr>
        <w:t xml:space="preserve"> y </w:t>
      </w:r>
      <w:hyperlink r:id="rId8" w:history="1">
        <w:r w:rsidRPr="0055680D">
          <w:rPr>
            <w:rStyle w:val="Hipervnculo"/>
            <w:lang w:val="es-ES_tradnl"/>
          </w:rPr>
          <w:t>español</w:t>
        </w:r>
      </w:hyperlink>
      <w:r w:rsidRPr="00DF6A6D">
        <w:rPr>
          <w:lang w:val="es-ES_tradnl"/>
        </w:rPr>
        <w:t>, revisa la legislación y las regulaciones para los registros de los beneficiarios finales de compañías en Panamá, Colombia, Costa Rica, España, Reino Unido, Islas Caimán y el estado de Delaware en los Estados Unidos</w:t>
      </w:r>
      <w:r>
        <w:rPr>
          <w:lang w:val="es-ES_tradnl"/>
        </w:rPr>
        <w:t xml:space="preserve"> de América</w:t>
      </w:r>
      <w:r w:rsidRPr="00DF6A6D">
        <w:rPr>
          <w:lang w:val="es-ES_tradnl"/>
        </w:rPr>
        <w:t xml:space="preserve">. </w:t>
      </w:r>
      <w:r>
        <w:rPr>
          <w:lang w:val="es-ES_tradnl"/>
        </w:rPr>
        <w:t>El reporte p</w:t>
      </w:r>
      <w:r w:rsidRPr="00DF6A6D">
        <w:rPr>
          <w:lang w:val="es-ES_tradnl"/>
        </w:rPr>
        <w:t>roporciona recomendaciones clave para implementar la nueva legislación de Panamá a fin de garantizar la efectividad y la confianza del público.</w:t>
      </w:r>
    </w:p>
    <w:p w:rsidR="00255657" w:rsidRPr="00255657" w:rsidRDefault="0055680D" w:rsidP="00DF6A6D">
      <w:pPr>
        <w:rPr>
          <w:lang w:val="es-ES_tradnl"/>
        </w:rPr>
      </w:pPr>
      <w:hyperlink r:id="rId9" w:history="1">
        <w:r w:rsidR="00DF6A6D" w:rsidRPr="0055680D">
          <w:rPr>
            <w:rStyle w:val="Hipervnculo"/>
            <w:b/>
            <w:lang w:val="es-ES_tradnl"/>
          </w:rPr>
          <w:t>La Fundación para el Desarrollo de la Libertad Ciudadana, Capítulo Panameño de Transparencia Internacional</w:t>
        </w:r>
      </w:hyperlink>
      <w:r w:rsidR="00DF6A6D" w:rsidRPr="00DF6A6D">
        <w:rPr>
          <w:lang w:val="es-ES_tradnl"/>
        </w:rPr>
        <w:t xml:space="preserve">, </w:t>
      </w:r>
      <w:r w:rsidR="00DF6A6D">
        <w:rPr>
          <w:lang w:val="es-ES_tradnl"/>
        </w:rPr>
        <w:t xml:space="preserve">solicitó </w:t>
      </w:r>
      <w:r w:rsidR="007077FD">
        <w:rPr>
          <w:lang w:val="es-ES_tradnl"/>
        </w:rPr>
        <w:t xml:space="preserve">al Vance Center </w:t>
      </w:r>
      <w:r w:rsidR="00DF6A6D">
        <w:rPr>
          <w:lang w:val="es-ES_tradnl"/>
        </w:rPr>
        <w:t>la realización</w:t>
      </w:r>
      <w:r w:rsidR="00DF6A6D" w:rsidRPr="00DF6A6D">
        <w:rPr>
          <w:lang w:val="es-ES_tradnl"/>
        </w:rPr>
        <w:t xml:space="preserve"> </w:t>
      </w:r>
      <w:r w:rsidR="00DF6A6D">
        <w:rPr>
          <w:lang w:val="es-ES_tradnl"/>
        </w:rPr>
        <w:t>d</w:t>
      </w:r>
      <w:r w:rsidR="00DF6A6D" w:rsidRPr="00DF6A6D">
        <w:rPr>
          <w:lang w:val="es-ES_tradnl"/>
        </w:rPr>
        <w:t xml:space="preserve">el informe </w:t>
      </w:r>
      <w:r w:rsidR="00DF6A6D">
        <w:rPr>
          <w:lang w:val="es-ES_tradnl"/>
        </w:rPr>
        <w:t>con el fin de</w:t>
      </w:r>
      <w:r w:rsidR="00DF6A6D" w:rsidRPr="00DF6A6D">
        <w:rPr>
          <w:lang w:val="es-ES_tradnl"/>
        </w:rPr>
        <w:t xml:space="preserve"> mejorar el debate público y asegurar una base legalmente sólida para </w:t>
      </w:r>
      <w:r w:rsidR="007E2B90">
        <w:rPr>
          <w:lang w:val="es-ES_tradnl"/>
        </w:rPr>
        <w:t>el nuevo</w:t>
      </w:r>
      <w:r w:rsidR="00255657">
        <w:rPr>
          <w:lang w:val="es-ES_tradnl"/>
        </w:rPr>
        <w:t xml:space="preserve"> registro</w:t>
      </w:r>
      <w:r w:rsidR="00DF6A6D" w:rsidRPr="00DF6A6D">
        <w:rPr>
          <w:lang w:val="es-ES_tradnl"/>
        </w:rPr>
        <w:t xml:space="preserve"> de beneficiarios finales </w:t>
      </w:r>
      <w:r w:rsidR="00255657">
        <w:rPr>
          <w:lang w:val="es-ES_tradnl"/>
        </w:rPr>
        <w:t>en</w:t>
      </w:r>
      <w:r w:rsidR="00DF6A6D" w:rsidRPr="00DF6A6D">
        <w:rPr>
          <w:lang w:val="es-ES_tradnl"/>
        </w:rPr>
        <w:t xml:space="preserve"> Panamá. La misión de TI Panamá es contribuir a</w:t>
      </w:r>
      <w:r w:rsidR="00255657">
        <w:rPr>
          <w:lang w:val="es-ES_tradnl"/>
        </w:rPr>
        <w:t>l mejoramiento y</w:t>
      </w:r>
      <w:r w:rsidR="00DF6A6D" w:rsidRPr="00DF6A6D">
        <w:rPr>
          <w:lang w:val="es-ES_tradnl"/>
        </w:rPr>
        <w:t xml:space="preserve"> profundización del sistema democrático a través de la participación ciudadana permanente. Se enfoca en fortalecer la </w:t>
      </w:r>
      <w:r w:rsidR="00255657" w:rsidRPr="00255657">
        <w:rPr>
          <w:lang w:val="es-ES_tradnl"/>
        </w:rPr>
        <w:t>rendición de cuentas y transparencia del gobierno y reducir la corrupción a nivel local, regional y nacional.</w:t>
      </w:r>
    </w:p>
    <w:p w:rsidR="00255657" w:rsidRPr="00255657" w:rsidRDefault="00255657" w:rsidP="00DF6A6D">
      <w:pPr>
        <w:rPr>
          <w:lang w:val="es-ES_tradnl"/>
        </w:rPr>
      </w:pPr>
      <w:r w:rsidRPr="00255657">
        <w:rPr>
          <w:lang w:val="es-ES_tradnl"/>
        </w:rPr>
        <w:t xml:space="preserve">Panamá ha sido evaluada con frecuencia como un país no cooperador en el combate contra el blanqueo de capitales. Ha sido colocada, y a la fecha se mantiene, en el listado de países, elaborado por el Grupo de Acción Financiera (GAFI), que requieren especial atención y revisión por la comunidad internacional por no combatir adecuadamente el blanqueo de capitales. </w:t>
      </w:r>
      <w:r w:rsidR="00DF6A6D" w:rsidRPr="00DF6A6D">
        <w:rPr>
          <w:lang w:val="es-ES_tradnl"/>
        </w:rPr>
        <w:t>La Ley 129 de Panamá, analizada en el informe, es un esfuerzo reciente para establecer el marco regulatorio para un registro de beneficiarios finales, que permita a los reguladores acceder a los datos de los agentes residentes y ayude a prevenir el lavado de dinero y el financiamiento del terrori</w:t>
      </w:r>
      <w:r>
        <w:rPr>
          <w:lang w:val="es-ES_tradnl"/>
        </w:rPr>
        <w:t>smo y la proliferación de armas</w:t>
      </w:r>
      <w:r w:rsidR="00DF6A6D" w:rsidRPr="00DF6A6D">
        <w:rPr>
          <w:lang w:val="es-ES_tradnl"/>
        </w:rPr>
        <w:t>.</w:t>
      </w:r>
      <w:r>
        <w:rPr>
          <w:lang w:val="es-ES_tradnl"/>
        </w:rPr>
        <w:t xml:space="preserve"> </w:t>
      </w:r>
      <w:r w:rsidRPr="00255657">
        <w:rPr>
          <w:lang w:val="es-ES_tradnl"/>
        </w:rPr>
        <w:t>Se espera que con este registro de beneficiarios finales se atienda una de las deficiencias específicas identificadas por las evaluaciones internacionales.</w:t>
      </w:r>
    </w:p>
    <w:p w:rsidR="00DF6A6D" w:rsidRPr="00DF6A6D" w:rsidRDefault="00DF6A6D" w:rsidP="00DF6A6D">
      <w:pPr>
        <w:rPr>
          <w:lang w:val="es-ES_tradnl"/>
        </w:rPr>
      </w:pPr>
      <w:r w:rsidRPr="00DF6A6D">
        <w:rPr>
          <w:lang w:val="es-ES_tradnl"/>
        </w:rPr>
        <w:t>El informe compara cómo varios países han definido el beneficiario final, establecido un registro obligatorio, identificando la información básica y las personas responsables e impuesto obligaciones, monitoreo y sanciones a los abogados y otros proveedores de servicios.</w:t>
      </w:r>
    </w:p>
    <w:p w:rsidR="00DF6A6D" w:rsidRPr="00DF6A6D" w:rsidRDefault="00DF6A6D" w:rsidP="00DF6A6D">
      <w:pPr>
        <w:rPr>
          <w:lang w:val="es-ES_tradnl"/>
        </w:rPr>
      </w:pPr>
      <w:r w:rsidRPr="00DF6A6D">
        <w:rPr>
          <w:lang w:val="es-ES_tradnl"/>
        </w:rPr>
        <w:t xml:space="preserve">El informe respalda la búsqueda de transparencia </w:t>
      </w:r>
      <w:r w:rsidR="007077FD">
        <w:rPr>
          <w:lang w:val="es-ES_tradnl"/>
        </w:rPr>
        <w:t>en</w:t>
      </w:r>
      <w:r w:rsidRPr="00DF6A6D">
        <w:rPr>
          <w:lang w:val="es-ES_tradnl"/>
        </w:rPr>
        <w:t xml:space="preserve"> Panamá en tres tipos de casos que han planteado desafíos sistémicos en el pasado: lavado de dinero; tráfico de drogas, especialmente flujos financieros ilícitos; y el secuestro de intereses políticos mediante donaciones ilegales o cuestionables a partidos y candidatos. La nueva legislación de Panamá requerirá implementación en línea con las tendencias globales hacia la transparencia, especialmente en lo que respecta a los beneficiarios finales, como busca promover el informe.</w:t>
      </w:r>
    </w:p>
    <w:p w:rsidR="00DF6A6D" w:rsidRPr="00DF6A6D" w:rsidRDefault="00DF6A6D" w:rsidP="00DF6A6D">
      <w:pPr>
        <w:rPr>
          <w:lang w:val="es-ES_tradnl"/>
        </w:rPr>
      </w:pPr>
      <w:r w:rsidRPr="00DF6A6D">
        <w:rPr>
          <w:lang w:val="es-ES_tradnl"/>
        </w:rPr>
        <w:lastRenderedPageBreak/>
        <w:t>El informe sigue otros esfuerzos anticorrupción de</w:t>
      </w:r>
      <w:r w:rsidR="00115E10">
        <w:rPr>
          <w:lang w:val="es-ES_tradnl"/>
        </w:rPr>
        <w:t>l</w:t>
      </w:r>
      <w:r w:rsidRPr="00DF6A6D">
        <w:rPr>
          <w:lang w:val="es-ES_tradnl"/>
        </w:rPr>
        <w:t xml:space="preserve"> Vance Center en la región, incluido el informe </w:t>
      </w:r>
      <w:hyperlink r:id="rId10" w:history="1">
        <w:r w:rsidRPr="00EC11DA">
          <w:rPr>
            <w:rStyle w:val="Hipervnculo"/>
            <w:lang w:val="es-ES_tradnl"/>
          </w:rPr>
          <w:t>Corrupción en tiempos de COVID-19: una perspectiva regional sobre adquisiciones públicas.</w:t>
        </w:r>
      </w:hyperlink>
    </w:p>
    <w:p w:rsidR="00DF6A6D" w:rsidRDefault="00DF6A6D" w:rsidP="00DF6A6D">
      <w:pPr>
        <w:rPr>
          <w:lang w:val="es-ES_tradnl"/>
        </w:rPr>
      </w:pPr>
      <w:r w:rsidRPr="00DF6A6D">
        <w:rPr>
          <w:lang w:val="es-ES_tradnl"/>
        </w:rPr>
        <w:t xml:space="preserve">Lea el informe completo aquí: </w:t>
      </w:r>
      <w:hyperlink r:id="rId11" w:history="1">
        <w:r w:rsidRPr="00EC11DA">
          <w:rPr>
            <w:rStyle w:val="Hipervnculo"/>
            <w:lang w:val="es-ES_tradnl"/>
          </w:rPr>
          <w:t>inglés</w:t>
        </w:r>
      </w:hyperlink>
      <w:r w:rsidRPr="00DF6A6D">
        <w:rPr>
          <w:lang w:val="es-ES_tradnl"/>
        </w:rPr>
        <w:t xml:space="preserve">, </w:t>
      </w:r>
      <w:hyperlink r:id="rId12" w:history="1">
        <w:r w:rsidRPr="00EC11DA">
          <w:rPr>
            <w:rStyle w:val="Hipervnculo"/>
            <w:lang w:val="es-ES_tradnl"/>
          </w:rPr>
          <w:t>español</w:t>
        </w:r>
      </w:hyperlink>
    </w:p>
    <w:p w:rsidR="009B2328" w:rsidRPr="009B2328" w:rsidRDefault="009B2328" w:rsidP="009B2328">
      <w:pPr>
        <w:rPr>
          <w:lang w:val="es-ES_tradnl"/>
        </w:rPr>
      </w:pPr>
    </w:p>
    <w:p w:rsidR="009B2328" w:rsidRPr="009220BA" w:rsidRDefault="009B2328" w:rsidP="00567DB3">
      <w:pPr>
        <w:spacing w:after="0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</w:pPr>
      <w:r w:rsidRPr="009220BA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  <w:t xml:space="preserve">Sobre el </w:t>
      </w:r>
      <w:r w:rsidR="00567DB3" w:rsidRPr="009220BA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  <w:t xml:space="preserve">Vance Center </w:t>
      </w:r>
      <w:proofErr w:type="spellStart"/>
      <w:r w:rsidR="00567DB3" w:rsidRPr="009220BA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  <w:t>for</w:t>
      </w:r>
      <w:proofErr w:type="spellEnd"/>
      <w:r w:rsidR="00567DB3" w:rsidRPr="009220BA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  <w:t xml:space="preserve"> International </w:t>
      </w:r>
      <w:proofErr w:type="spellStart"/>
      <w:r w:rsidR="00567DB3" w:rsidRPr="009220BA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  <w:t>Justice</w:t>
      </w:r>
      <w:proofErr w:type="spellEnd"/>
    </w:p>
    <w:p w:rsidR="009B2328" w:rsidRPr="009220BA" w:rsidRDefault="009B2328" w:rsidP="00567DB3">
      <w:pPr>
        <w:spacing w:after="0"/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</w:pPr>
      <w:r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El </w:t>
      </w:r>
      <w:r w:rsidR="00567DB3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Vance Center </w:t>
      </w:r>
      <w:proofErr w:type="spellStart"/>
      <w:r w:rsidR="00567DB3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>for</w:t>
      </w:r>
      <w:proofErr w:type="spellEnd"/>
      <w:r w:rsidR="00567DB3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 International </w:t>
      </w:r>
      <w:proofErr w:type="spellStart"/>
      <w:r w:rsidR="00567DB3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>Justice</w:t>
      </w:r>
      <w:proofErr w:type="spellEnd"/>
      <w:r w:rsidR="00567DB3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 </w:t>
      </w:r>
      <w:r w:rsidR="00567DB3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"/>
        </w:rPr>
        <w:t>promueve la justicia global mediante la participación de profesionales del derecho alrededor del mundo para apoyar a la sociedad civil y a una profesión legal éticamente activa. Es un programa sin fines de lucro de la Asociación de Abogados de la Ciudad de Nueva York que reúne a los principales estudios jurídicos y a otros colaboradores en todo el mundo para promover iniciativas de justicia internacional y proporcionar representación legal gratuita a organizaciones de sociedad civil que luchan por la justicia social.</w:t>
      </w:r>
      <w:r w:rsidR="00567DB3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 </w:t>
      </w:r>
      <w:hyperlink r:id="rId13" w:history="1">
        <w:r w:rsidR="00567DB3" w:rsidRPr="009220BA">
          <w:rPr>
            <w:rStyle w:val="Hipervnculo"/>
            <w:rFonts w:ascii="Times New Roman" w:eastAsia="Times New Roman" w:hAnsi="Times New Roman" w:cs="Times New Roman"/>
            <w:iCs/>
            <w:color w:val="262626" w:themeColor="text1" w:themeTint="D9"/>
            <w:lang w:val="es-ES_tradnl"/>
          </w:rPr>
          <w:t>www.vancecenter.org</w:t>
        </w:r>
      </w:hyperlink>
      <w:r w:rsidR="00567DB3" w:rsidRPr="009220BA">
        <w:rPr>
          <w:rFonts w:ascii="Times New Roman" w:eastAsia="Times New Roman" w:hAnsi="Times New Roman" w:cs="Times New Roman"/>
          <w:iCs/>
          <w:color w:val="262626" w:themeColor="text1" w:themeTint="D9"/>
          <w:lang w:val="es-ES_tradnl"/>
        </w:rPr>
        <w:t xml:space="preserve"> </w:t>
      </w:r>
    </w:p>
    <w:p w:rsidR="009B2328" w:rsidRPr="009220BA" w:rsidRDefault="009B2328" w:rsidP="00567DB3">
      <w:pPr>
        <w:spacing w:after="0"/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</w:pPr>
    </w:p>
    <w:p w:rsidR="009B2328" w:rsidRPr="009220BA" w:rsidRDefault="00567DB3" w:rsidP="00567DB3">
      <w:pPr>
        <w:spacing w:after="0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</w:pPr>
      <w:r w:rsidRPr="009220BA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ES_tradnl"/>
        </w:rPr>
        <w:t>Sobre la Asociación</w:t>
      </w:r>
    </w:p>
    <w:p w:rsidR="00590D5C" w:rsidRPr="009220BA" w:rsidRDefault="00567DB3" w:rsidP="00567DB3">
      <w:pPr>
        <w:spacing w:after="0"/>
        <w:rPr>
          <w:rFonts w:ascii="Times New Roman" w:eastAsia="Times New Roman" w:hAnsi="Times New Roman" w:cs="Times New Roman"/>
          <w:i/>
          <w:iCs/>
          <w:color w:val="262626" w:themeColor="text1" w:themeTint="D9"/>
        </w:rPr>
      </w:pPr>
      <w:r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>La Asociación</w:t>
      </w:r>
      <w:r w:rsidR="009B2328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 de Aboga</w:t>
      </w:r>
      <w:r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>dos de la Ciudad de Nueva York</w:t>
      </w:r>
      <w:r w:rsidR="009B2328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>, desde su fundación en 1870, se ha dedicado a mantener los altos estándares éticos de la profesión, promover reforma</w:t>
      </w:r>
      <w:r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s legales </w:t>
      </w:r>
      <w:r w:rsidR="009B2328"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  <w:lang w:val="es-ES_tradnl"/>
        </w:rPr>
        <w:t xml:space="preserve">y brindar servicio a la profesión y al público. La Asociación continúa trabajando por la reforma política, legal y social, mientras implementa medios innovadores para ayudar a los desfavorecidos. Proteger el bienestar del público sigue siendo una de las principales prioridades de la Asociación. </w:t>
      </w:r>
      <w:hyperlink r:id="rId14" w:history="1">
        <w:r w:rsidRPr="009220BA">
          <w:rPr>
            <w:rStyle w:val="Hipervnculo"/>
            <w:rFonts w:ascii="Times New Roman" w:eastAsia="Times New Roman" w:hAnsi="Times New Roman" w:cs="Times New Roman"/>
            <w:iCs/>
            <w:color w:val="262626" w:themeColor="text1" w:themeTint="D9"/>
          </w:rPr>
          <w:t>www.nycbar.org</w:t>
        </w:r>
      </w:hyperlink>
      <w:r w:rsidRPr="009220BA">
        <w:rPr>
          <w:rFonts w:ascii="Times New Roman" w:eastAsia="Times New Roman" w:hAnsi="Times New Roman" w:cs="Times New Roman"/>
          <w:i/>
          <w:iCs/>
          <w:color w:val="262626" w:themeColor="text1" w:themeTint="D9"/>
        </w:rPr>
        <w:t xml:space="preserve"> </w:t>
      </w:r>
    </w:p>
    <w:p w:rsidR="0055680D" w:rsidRPr="009220BA" w:rsidRDefault="0055680D" w:rsidP="00567DB3">
      <w:pPr>
        <w:spacing w:after="0"/>
        <w:rPr>
          <w:rFonts w:ascii="Times New Roman" w:eastAsia="Times New Roman" w:hAnsi="Times New Roman" w:cs="Times New Roman"/>
          <w:i/>
          <w:iCs/>
          <w:color w:val="262626" w:themeColor="text1" w:themeTint="D9"/>
        </w:rPr>
      </w:pPr>
    </w:p>
    <w:p w:rsidR="0055680D" w:rsidRPr="009220BA" w:rsidRDefault="0055680D" w:rsidP="00567DB3">
      <w:pPr>
        <w:spacing w:after="0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PA"/>
        </w:rPr>
      </w:pPr>
      <w:r w:rsidRPr="009220BA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lang w:val="es-PA"/>
        </w:rPr>
        <w:t>Sobre la Fundación para el Desarrollo de la Libertad Ciudadana – Capítulo Panameño de Transparencia Internacional</w:t>
      </w:r>
    </w:p>
    <w:p w:rsidR="009220BA" w:rsidRPr="009220BA" w:rsidRDefault="0055680D" w:rsidP="0055680D">
      <w:pPr>
        <w:spacing w:after="0"/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</w:pPr>
      <w:r w:rsidRPr="009220BA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>Desde su fundación en</w:t>
      </w:r>
      <w:r w:rsidRPr="0055680D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 1995,</w:t>
      </w:r>
      <w:r w:rsidRPr="009220BA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 </w:t>
      </w:r>
      <w:r w:rsidR="009220BA" w:rsidRPr="009220BA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se ha dedicado a la </w:t>
      </w:r>
      <w:r w:rsidRPr="0055680D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defensa de las libertades fundamentales de las personas; </w:t>
      </w:r>
      <w:r w:rsidR="009220BA" w:rsidRPr="009220BA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>a lograr el desarrollo de un mejor modelo democrático</w:t>
      </w:r>
      <w:r w:rsidRPr="0055680D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 a través de la promoción de la transparencia y la lucha anticorrupción; y la formación de la ciudadanía en participación ciudadana democrática, siendo un contrapeso a los partidos políticos institucionalizados. </w:t>
      </w:r>
      <w:r w:rsidR="009220BA" w:rsidRPr="009220BA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 </w:t>
      </w:r>
      <w:r w:rsidRPr="0055680D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 </w:t>
      </w:r>
    </w:p>
    <w:p w:rsidR="009220BA" w:rsidRPr="009220BA" w:rsidRDefault="0055680D" w:rsidP="0055680D">
      <w:pPr>
        <w:spacing w:after="0"/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</w:pPr>
      <w:r w:rsidRPr="0055680D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>Desde 1997 somos el Capítulo Panameño de Transparencia Internacional, el movimiento global cuya visión es: un mundo en que los gobiernos, las empresas, la sociedad civil y la vida diaria de las personas esté libre de corrupción. A través de más de 100 capítulos en el mundo entero y su Secretaría en Berlín, lideran la lucha contra la corrupción para hacer de esta visión una realidad.</w:t>
      </w:r>
    </w:p>
    <w:p w:rsidR="0055680D" w:rsidRPr="009220BA" w:rsidRDefault="0055680D" w:rsidP="0055680D">
      <w:pPr>
        <w:spacing w:after="0"/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</w:pPr>
      <w:r w:rsidRPr="0055680D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 </w:t>
      </w:r>
      <w:hyperlink r:id="rId15" w:history="1">
        <w:r w:rsidR="009220BA" w:rsidRPr="009220BA">
          <w:rPr>
            <w:rStyle w:val="Hipervnculo"/>
            <w:rFonts w:ascii="Times New Roman" w:eastAsia="Times New Roman" w:hAnsi="Times New Roman" w:cs="Times New Roman"/>
            <w:i/>
            <w:color w:val="262626" w:themeColor="text1" w:themeTint="D9"/>
            <w:lang w:val="es-PA" w:eastAsia="es-ES_tradnl"/>
          </w:rPr>
          <w:t>www.libertadciudadana.org</w:t>
        </w:r>
      </w:hyperlink>
      <w:r w:rsidR="009220BA" w:rsidRPr="009220BA">
        <w:rPr>
          <w:rFonts w:ascii="Times New Roman" w:eastAsia="Times New Roman" w:hAnsi="Times New Roman" w:cs="Times New Roman"/>
          <w:i/>
          <w:color w:val="262626" w:themeColor="text1" w:themeTint="D9"/>
          <w:lang w:val="es-PA" w:eastAsia="es-ES_tradnl"/>
        </w:rPr>
        <w:t xml:space="preserve">      </w:t>
      </w:r>
      <w:hyperlink r:id="rId16" w:history="1">
        <w:r w:rsidR="009220BA" w:rsidRPr="009220BA">
          <w:rPr>
            <w:rStyle w:val="Hipervnculo"/>
            <w:rFonts w:ascii="Times New Roman" w:eastAsia="Times New Roman" w:hAnsi="Times New Roman" w:cs="Times New Roman"/>
            <w:i/>
            <w:color w:val="262626" w:themeColor="text1" w:themeTint="D9"/>
            <w:lang w:val="es-PA" w:eastAsia="es-ES_tradnl"/>
          </w:rPr>
          <w:t>www.transparency.org</w:t>
        </w:r>
      </w:hyperlink>
    </w:p>
    <w:p w:rsidR="009220BA" w:rsidRDefault="009220BA" w:rsidP="005568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PA" w:eastAsia="es-ES_tradnl"/>
        </w:rPr>
      </w:pPr>
    </w:p>
    <w:p w:rsidR="00DA06D3" w:rsidRDefault="00DA06D3" w:rsidP="005568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PA" w:eastAsia="es-ES_tradnl"/>
        </w:rPr>
      </w:pPr>
    </w:p>
    <w:p w:rsidR="00DA06D3" w:rsidRPr="0055680D" w:rsidRDefault="00DA06D3" w:rsidP="00DA06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s-PA" w:eastAsia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PA" w:eastAsia="es-ES_tradnl"/>
        </w:rPr>
        <w:drawing>
          <wp:inline distT="0" distB="0" distL="0" distR="0">
            <wp:extent cx="2883976" cy="7792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5-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293" cy="7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0D" w:rsidRPr="0055680D" w:rsidRDefault="0055680D" w:rsidP="00567DB3">
      <w:pPr>
        <w:spacing w:after="0"/>
        <w:rPr>
          <w:rFonts w:ascii="Times New Roman" w:eastAsia="Times New Roman" w:hAnsi="Times New Roman" w:cs="Times New Roman"/>
          <w:b/>
          <w:i/>
          <w:iCs/>
          <w:color w:val="1C1E29"/>
          <w:lang w:val="es-PA"/>
        </w:rPr>
      </w:pPr>
    </w:p>
    <w:p w:rsidR="0055680D" w:rsidRPr="0055680D" w:rsidRDefault="0055680D" w:rsidP="00567DB3">
      <w:pPr>
        <w:spacing w:after="0"/>
        <w:rPr>
          <w:rFonts w:ascii="Times New Roman" w:eastAsia="Times New Roman" w:hAnsi="Times New Roman" w:cs="Times New Roman"/>
          <w:i/>
          <w:iCs/>
          <w:color w:val="1C1E29"/>
          <w:lang w:val="es-PA"/>
        </w:rPr>
      </w:pPr>
      <w:bookmarkStart w:id="0" w:name="_GoBack"/>
      <w:bookmarkEnd w:id="0"/>
    </w:p>
    <w:sectPr w:rsidR="0055680D" w:rsidRPr="005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DE3NjYwNzC3MDZT0lEKTi0uzszPAykwqgUABqDhQCwAAAA="/>
  </w:docVars>
  <w:rsids>
    <w:rsidRoot w:val="009B2328"/>
    <w:rsid w:val="00115E10"/>
    <w:rsid w:val="001E35F3"/>
    <w:rsid w:val="00255657"/>
    <w:rsid w:val="003F55BD"/>
    <w:rsid w:val="0055680D"/>
    <w:rsid w:val="00567DB3"/>
    <w:rsid w:val="00590D5C"/>
    <w:rsid w:val="007077FD"/>
    <w:rsid w:val="00793318"/>
    <w:rsid w:val="007E2B90"/>
    <w:rsid w:val="009220BA"/>
    <w:rsid w:val="00980DE0"/>
    <w:rsid w:val="009B2328"/>
    <w:rsid w:val="009E13A0"/>
    <w:rsid w:val="00B858F3"/>
    <w:rsid w:val="00D06D68"/>
    <w:rsid w:val="00D5548F"/>
    <w:rsid w:val="00DA06D3"/>
    <w:rsid w:val="00DF6A6D"/>
    <w:rsid w:val="00E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2ABC"/>
  <w15:chartTrackingRefBased/>
  <w15:docId w15:val="{7F7EFD6C-BA99-423B-8FB0-65AB4AD5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7DB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F6A6D"/>
    <w:pPr>
      <w:spacing w:after="0"/>
    </w:pPr>
  </w:style>
  <w:style w:type="character" w:styleId="Mencinsinresolver">
    <w:name w:val="Unresolved Mention"/>
    <w:basedOn w:val="Fuentedeprrafopredeter"/>
    <w:uiPriority w:val="99"/>
    <w:semiHidden/>
    <w:unhideWhenUsed/>
    <w:rsid w:val="00556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ncecenter.org/wp-content/uploads/2020/10/Revelando-las-estructuras-corporativas.-TI-Panama-Vance-Center.pdf" TargetMode="External"/><Relationship Id="rId13" Type="http://schemas.openxmlformats.org/officeDocument/2006/relationships/hyperlink" Target="http://www.vancecenter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ancecenter.org/wp-content/uploads/2020/10/Unveiling-corporate-structures-UBO.-TI-Panama-Vance-Center.pdf" TargetMode="External"/><Relationship Id="rId12" Type="http://schemas.openxmlformats.org/officeDocument/2006/relationships/hyperlink" Target="https://bit.ly/VCTIPUBO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://www.transparency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ycbar.org/media-listing/media/detail/vance-center-and-transparency-international-panama-encourage-reform-on-registration-of-ultimate-beneficial-ownership" TargetMode="External"/><Relationship Id="rId11" Type="http://schemas.openxmlformats.org/officeDocument/2006/relationships/hyperlink" Target="https://bit.ly/VCTIPUBOEn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libertadciudadana.org" TargetMode="External"/><Relationship Id="rId10" Type="http://schemas.openxmlformats.org/officeDocument/2006/relationships/hyperlink" Target="https://bit.ly/corruptioncovidVCL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libertadciudadana.org/" TargetMode="External"/><Relationship Id="rId14" Type="http://schemas.openxmlformats.org/officeDocument/2006/relationships/hyperlink" Target="http://www.nyc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974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Chavez Alor</dc:creator>
  <cp:keywords/>
  <dc:description/>
  <cp:lastModifiedBy>Microsoft Office User</cp:lastModifiedBy>
  <cp:revision>6</cp:revision>
  <dcterms:created xsi:type="dcterms:W3CDTF">2020-10-28T15:00:00Z</dcterms:created>
  <dcterms:modified xsi:type="dcterms:W3CDTF">2020-10-28T22:13:00Z</dcterms:modified>
</cp:coreProperties>
</file>